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Amazon.com Services LLC</w:t>
        <w:tab/>
        <w:tab/>
        <w:t xml:space="preserve">94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JP Morgan Chase</w:t>
        <w:tab/>
        <w:tab/>
        <w:tab/>
        <w:t xml:space="preserve">158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 Department of the Navy</w:t>
        <w:tab/>
        <w:tab/>
        <w:t xml:space="preserve">112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Compass Group USA</w:t>
        <w:tab/>
        <w:tab/>
        <w:tab/>
        <w:t xml:space="preserve">96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Compass Group</w:t>
        <w:tab/>
        <w:tab/>
        <w:tab/>
        <w:t xml:space="preserve">110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 Department of the Air Force</w:t>
        <w:tab/>
        <w:t xml:space="preserve">113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 Department of the Navy</w:t>
        <w:tab/>
        <w:tab/>
        <w:t xml:space="preserve">112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Microsoft</w:t>
        <w:tab/>
        <w:tab/>
        <w:tab/>
        <w:tab/>
        <w:t xml:space="preserve">97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JPMorgan Chase &amp; Co-PL</w:t>
        <w:tab/>
        <w:tab/>
        <w:t xml:space="preserve">99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Northrop Grumman</w:t>
        <w:tab/>
        <w:tab/>
        <w:tab/>
        <w:t xml:space="preserve">42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 Department of the Army</w:t>
        <w:tab/>
        <w:tab/>
        <w:t xml:space="preserve">77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LOCKHEED MARTIN CORPORATION 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IBM</w:t>
        <w:tab/>
        <w:tab/>
        <w:tab/>
        <w:tab/>
        <w:tab/>
        <w:t xml:space="preserve">67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Intuit</w:t>
        <w:tab/>
        <w:tab/>
        <w:tab/>
        <w:tab/>
        <w:tab/>
        <w:t xml:space="preserve">70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CACI</w:t>
        <w:tab/>
        <w:tab/>
        <w:tab/>
        <w:tab/>
        <w:tab/>
        <w:t xml:space="preserve">56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Amazon Web Services, Inc.  </w:t>
        <w:tab/>
        <w:tab/>
        <w:t xml:space="preserve">29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GENENTECH                              </w:t>
        <w:tab/>
        <w:t xml:space="preserve">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Capital One</w:t>
        <w:tab/>
        <w:tab/>
        <w:tab/>
        <w:tab/>
        <w:t xml:space="preserve">56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State of Florida</w:t>
        <w:tab/>
        <w:tab/>
        <w:tab/>
        <w:t xml:space="preserve">57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Leidos</w:t>
        <w:tab/>
        <w:tab/>
        <w:tab/>
        <w:tab/>
        <w:tab/>
        <w:t xml:space="preserve">54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Oracle</w:t>
        <w:tab/>
        <w:tab/>
        <w:tab/>
        <w:tab/>
        <w:tab/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+------------------------------+-----+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|company_name                  |count|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+------------------------------+-----+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|Amazon.com Services LLC       </w:t>
        <w:tab/>
        <w:t xml:space="preserve">|96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|JP Morgan Chase               </w:t>
        <w:tab/>
        <w:tab/>
        <w:t xml:space="preserve">|78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|Compass Group USA            </w:t>
        <w:tab/>
        <w:t xml:space="preserve"> |67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|Compass Group                 </w:t>
        <w:tab/>
        <w:tab/>
        <w:t xml:space="preserve">|63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|US Department of the Air Force|</w:t>
        <w:tab/>
        <w:t xml:space="preserve">56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|US Department of the Navy     </w:t>
        <w:tab/>
        <w:t xml:space="preserve">|51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|Microsoft                     </w:t>
        <w:tab/>
        <w:tab/>
        <w:t xml:space="preserve">|48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|JPMorgan Chase &amp; Co-PL       </w:t>
        <w:tab/>
        <w:t xml:space="preserve"> |48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|Northrop Grumman              </w:t>
        <w:tab/>
        <w:tab/>
        <w:t xml:space="preserve">|42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|US Department of the Army     </w:t>
        <w:tab/>
        <w:t xml:space="preserve">|39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|LOCKHEED MARTIN CORPORATION   |37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|IBM                           </w:t>
        <w:tab/>
        <w:tab/>
        <w:tab/>
        <w:t xml:space="preserve">|36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|Intuit                        </w:t>
        <w:tab/>
        <w:tab/>
        <w:tab/>
        <w:t xml:space="preserve">|35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|CACI                          </w:t>
        <w:tab/>
        <w:tab/>
        <w:t xml:space="preserve">|31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|Amazon Web Services, Inc.     </w:t>
        <w:tab/>
        <w:t xml:space="preserve">|29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|The State of Florida          </w:t>
        <w:tab/>
        <w:tab/>
        <w:t xml:space="preserve">|28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|Apple                         </w:t>
        <w:tab/>
        <w:tab/>
        <w:tab/>
        <w:t xml:space="preserve">|28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|Leidos                        </w:t>
        <w:tab/>
        <w:tab/>
        <w:t xml:space="preserve">|25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|Oracle                        </w:t>
        <w:tab/>
        <w:tab/>
        <w:t xml:space="preserve">|25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|Capital One - US              </w:t>
        <w:tab/>
        <w:tab/>
        <w:t xml:space="preserve">|25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+------------------------------+-----+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+---------------------------------------+-----+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|company_name                           |count|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+---------------------------------------+-----+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|Amazon.com Services LLC                |98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|JP Morgan Chase                        |80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|US Department of the Navy              |61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|US Department of the Air Force         |57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|JPMorgan Chase &amp; Co-PL                 |51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|Microsoft                              |49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|Compass Group USA                      |47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|US Department of the Army              |38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|GENENTECH                              |37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|JPMorgan Chase                         |37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|Intuit                                 |35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|Compass Group                          |33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|Capital One - US                       |31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|IBM                                    |31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|The State of Florida                   |29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|Leidos                                 |29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|Oracle                                 |27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|CACI                                   |25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|US Department of Defense               |25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|General Dynamics Information Technology|24 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+---------------------------------------+-----+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