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EFF80" w14:textId="514412BD" w:rsidR="005A1B58" w:rsidRDefault="00AC654E" w:rsidP="00A530B6">
      <w:pPr>
        <w:spacing w:line="560" w:lineRule="exact"/>
        <w:jc w:val="both"/>
        <w:rPr>
          <w:rFonts w:ascii="標楷體" w:eastAsia="標楷體" w:hAnsi="標楷體"/>
          <w:sz w:val="32"/>
          <w:szCs w:val="32"/>
        </w:rPr>
      </w:pPr>
      <w:r>
        <w:rPr>
          <w:rFonts w:ascii="標楷體" w:eastAsia="標楷體" w:hAnsi="標楷體" w:hint="eastAsia"/>
          <w:sz w:val="32"/>
          <w:szCs w:val="32"/>
        </w:rPr>
        <w:t>貳、報告事項</w:t>
      </w:r>
    </w:p>
    <w:p w14:paraId="3B8FBF91" w14:textId="42454C88" w:rsidR="00AC654E" w:rsidRDefault="00AC654E" w:rsidP="00A530B6">
      <w:pPr>
        <w:pStyle w:val="a3"/>
        <w:numPr>
          <w:ilvl w:val="0"/>
          <w:numId w:val="1"/>
        </w:numPr>
        <w:spacing w:line="560" w:lineRule="exact"/>
        <w:ind w:leftChars="0"/>
        <w:jc w:val="both"/>
        <w:rPr>
          <w:rFonts w:ascii="標楷體" w:eastAsia="標楷體" w:hAnsi="標楷體"/>
          <w:sz w:val="32"/>
          <w:szCs w:val="32"/>
        </w:rPr>
      </w:pPr>
      <w:r w:rsidRPr="00AC654E">
        <w:rPr>
          <w:rFonts w:ascii="標楷體" w:eastAsia="標楷體" w:hAnsi="標楷體" w:hint="eastAsia"/>
          <w:sz w:val="32"/>
          <w:szCs w:val="32"/>
        </w:rPr>
        <w:t>國軍軍購案分析系統之研發歷程與審核應用</w:t>
      </w:r>
    </w:p>
    <w:p w14:paraId="3FAAAF2F" w14:textId="75DC7702" w:rsidR="00AC654E" w:rsidRPr="00AC654E" w:rsidRDefault="00AC654E" w:rsidP="00A530B6">
      <w:pPr>
        <w:pStyle w:val="a3"/>
        <w:numPr>
          <w:ilvl w:val="1"/>
          <w:numId w:val="1"/>
        </w:numPr>
        <w:spacing w:line="560" w:lineRule="exact"/>
        <w:ind w:leftChars="0"/>
        <w:jc w:val="both"/>
        <w:rPr>
          <w:rFonts w:ascii="標楷體" w:eastAsia="標楷體" w:hAnsi="標楷體" w:hint="eastAsia"/>
          <w:sz w:val="32"/>
          <w:szCs w:val="32"/>
        </w:rPr>
      </w:pPr>
      <w:r>
        <w:rPr>
          <w:rFonts w:ascii="標楷體" w:eastAsia="標楷體" w:hAnsi="標楷體" w:hint="eastAsia"/>
          <w:sz w:val="32"/>
          <w:szCs w:val="32"/>
        </w:rPr>
        <w:t>緣起</w:t>
      </w:r>
    </w:p>
    <w:p w14:paraId="69A187E7" w14:textId="4828C92B" w:rsidR="00AC654E" w:rsidRDefault="00AC654E" w:rsidP="00A530B6">
      <w:pPr>
        <w:pStyle w:val="a3"/>
        <w:spacing w:line="560" w:lineRule="exact"/>
        <w:ind w:leftChars="0" w:left="992" w:firstLineChars="200" w:firstLine="640"/>
        <w:jc w:val="both"/>
        <w:rPr>
          <w:rFonts w:ascii="標楷體" w:eastAsia="標楷體" w:hAnsi="標楷體"/>
          <w:sz w:val="32"/>
          <w:szCs w:val="32"/>
        </w:rPr>
      </w:pPr>
      <w:r>
        <w:rPr>
          <w:rFonts w:ascii="標楷體" w:eastAsia="標楷體" w:hAnsi="標楷體" w:hint="eastAsia"/>
          <w:sz w:val="32"/>
          <w:szCs w:val="32"/>
        </w:rPr>
        <w:t>近年</w:t>
      </w:r>
      <w:r w:rsidRPr="00AC654E">
        <w:rPr>
          <w:rFonts w:ascii="標楷體" w:eastAsia="標楷體" w:hAnsi="標楷體" w:hint="eastAsia"/>
          <w:sz w:val="32"/>
          <w:szCs w:val="32"/>
        </w:rPr>
        <w:t>隨資訊科技快速發展及國際審計思潮之轉變，本部積極推動數位審計，導入風險導向審計理念，運用各類資訊工具強化財務監督效能，以有限之審計人力遂行日益龐雜之查核任務。就國防審計而言，立法院於115年5月8日三讀通過「保衛國家安全及強化不對稱戰力計畫採購特別條例」，規劃於8年期間編列7,800億元對美軍購特別預算，採購保衛國家安全及強化不對稱戰力之武器及裝備，並明定審計機關應依法辦理審計。前開預算規模龐鉅，如何在資源有限之情形下，精準辨識高風險軍購案件、集中查核資源、提升選案效率，實為當前國防審計之重要課題。國防部雖定期檢送「執行中軍購案個案管制表」（下稱管制表）等資料，供本部審核參考，惟部分有關軍購案之規模、進度、付款情形等資訊具機敏性，僅能於實體隔離電腦中進行逐項分析，難以發揮數位審計之效能。鑑於上開審核限制，爰開發「國軍軍購案分析系統」（下稱本系統），以資訊工具輔助審計專業判斷，降低審核負擔，並提升軍購案選案之效率與精準度。以下謹就本系統之現況與挑戰、因應對策、未來精進作為等，臚述如次。</w:t>
      </w:r>
    </w:p>
    <w:p w14:paraId="5584B09C" w14:textId="08544DCA" w:rsidR="00AC654E" w:rsidRPr="00AC654E" w:rsidRDefault="00AC654E" w:rsidP="00A530B6">
      <w:pPr>
        <w:pStyle w:val="a3"/>
        <w:numPr>
          <w:ilvl w:val="1"/>
          <w:numId w:val="1"/>
        </w:numPr>
        <w:spacing w:line="560" w:lineRule="exact"/>
        <w:ind w:leftChars="0"/>
        <w:jc w:val="both"/>
        <w:rPr>
          <w:rFonts w:ascii="標楷體" w:eastAsia="標楷體" w:hAnsi="標楷體"/>
          <w:sz w:val="32"/>
          <w:szCs w:val="32"/>
        </w:rPr>
      </w:pPr>
      <w:r w:rsidRPr="00AC654E">
        <w:rPr>
          <w:rFonts w:ascii="標楷體" w:eastAsia="標楷體" w:hAnsi="標楷體" w:hint="eastAsia"/>
          <w:sz w:val="32"/>
          <w:szCs w:val="32"/>
        </w:rPr>
        <w:t>現況與挑戰</w:t>
      </w:r>
    </w:p>
    <w:p w14:paraId="2538FB4D" w14:textId="2FA94BCD" w:rsidR="00AC654E" w:rsidRDefault="00AC654E" w:rsidP="00A530B6">
      <w:pPr>
        <w:pStyle w:val="a3"/>
        <w:spacing w:line="560" w:lineRule="exact"/>
        <w:ind w:leftChars="0" w:left="992" w:firstLineChars="200" w:firstLine="640"/>
        <w:jc w:val="both"/>
        <w:rPr>
          <w:rFonts w:ascii="標楷體" w:eastAsia="標楷體" w:hAnsi="標楷體"/>
          <w:sz w:val="32"/>
          <w:szCs w:val="32"/>
        </w:rPr>
      </w:pPr>
      <w:r w:rsidRPr="00AC654E">
        <w:rPr>
          <w:rFonts w:ascii="標楷體" w:eastAsia="標楷體" w:hAnsi="標楷體" w:hint="eastAsia"/>
          <w:sz w:val="32"/>
          <w:szCs w:val="32"/>
        </w:rPr>
        <w:t>國防部為加強國軍對美軍購執行、驗收、結案及軍購案備查帳管制作業，訂有相關作業要點，並運用軍購管理系統、軍購案備查帳帳務處理系統等資訊系統，結合各軍種軍購管制會議及督導機制，管控軍購案之執行；本部依歷次查核經驗，針對國防部定期檢送管制表所載資料逐案套用多項分析條件（下稱控制點），初步篩選履</w:t>
      </w:r>
      <w:r w:rsidRPr="00AC654E">
        <w:rPr>
          <w:rFonts w:ascii="標楷體" w:eastAsia="標楷體" w:hAnsi="標楷體" w:hint="eastAsia"/>
          <w:sz w:val="32"/>
          <w:szCs w:val="32"/>
        </w:rPr>
        <w:lastRenderedPageBreak/>
        <w:t>約落後或帳務異常之風險案件，作為深入查證之依據。有關上開軍購案篩選與各類風險辨認作業之現況與挑戰，分述如下：</w:t>
      </w:r>
    </w:p>
    <w:p w14:paraId="0CCDB777" w14:textId="7F052612" w:rsidR="00AC654E" w:rsidRDefault="00AC654E" w:rsidP="00A530B6">
      <w:pPr>
        <w:pStyle w:val="a3"/>
        <w:numPr>
          <w:ilvl w:val="2"/>
          <w:numId w:val="1"/>
        </w:numPr>
        <w:spacing w:line="560" w:lineRule="exact"/>
        <w:ind w:leftChars="0" w:left="1134" w:hanging="283"/>
        <w:jc w:val="both"/>
        <w:rPr>
          <w:rFonts w:ascii="標楷體" w:eastAsia="標楷體" w:hAnsi="標楷體"/>
          <w:sz w:val="32"/>
          <w:szCs w:val="32"/>
        </w:rPr>
      </w:pPr>
      <w:r w:rsidRPr="00AC654E">
        <w:rPr>
          <w:rFonts w:ascii="標楷體" w:eastAsia="標楷體" w:hAnsi="標楷體" w:hint="eastAsia"/>
          <w:sz w:val="32"/>
          <w:szCs w:val="32"/>
        </w:rPr>
        <w:t>軍購案採「先付款後交貨」制度，帳務結構複雜</w:t>
      </w:r>
    </w:p>
    <w:p w14:paraId="039279A1" w14:textId="4BC04ED1" w:rsidR="00A530B6" w:rsidRDefault="00A530B6" w:rsidP="00A530B6">
      <w:pPr>
        <w:pStyle w:val="a3"/>
        <w:spacing w:line="560" w:lineRule="exact"/>
        <w:ind w:leftChars="0" w:left="1134" w:firstLineChars="200" w:firstLine="640"/>
        <w:jc w:val="both"/>
        <w:rPr>
          <w:rFonts w:ascii="標楷體" w:eastAsia="標楷體" w:hAnsi="標楷體"/>
          <w:sz w:val="32"/>
          <w:szCs w:val="32"/>
        </w:rPr>
      </w:pPr>
      <w:r w:rsidRPr="00A530B6">
        <w:rPr>
          <w:rFonts w:ascii="標楷體" w:eastAsia="標楷體" w:hAnsi="標楷體" w:hint="eastAsia"/>
          <w:sz w:val="32"/>
          <w:szCs w:val="32"/>
        </w:rPr>
        <w:t>國軍對美軍購多以「外國軍事銷售」（FMS）方式辦理，其金流與一般採購迥異。我方須依發價書及美方每季帳單先行結匯付款，款項存入美國聯邦儲備銀行（FRB）之計息帳戶，再由美方按未來實際需求逐月自FRB提領動支，俟交貨後於季帳單列計交運值，我方始得辦理驗收並沖銷在途物資；此外，作業維持案多採開放式合約，藉一號訂單預建常備零附件庫存、再以二號訂單申請動用，案內常無實際交運品項，其帳務型態與一般軍事投資建案復有不同。上開先付後交、跨年執行之帳務結構，牽涉結匯率、交運率、備查帳餘額、FRB餘額、待平衡支付值等多項數據，異常態樣繁多且彼此交錯，相關風險辨識有賴審計人員對軍購案制度與帳務之熟稔，難</w:t>
      </w:r>
      <w:r>
        <w:rPr>
          <w:rFonts w:ascii="標楷體" w:eastAsia="標楷體" w:hAnsi="標楷體" w:hint="eastAsia"/>
          <w:sz w:val="32"/>
          <w:szCs w:val="32"/>
        </w:rPr>
        <w:t>以</w:t>
      </w:r>
      <w:r w:rsidRPr="00A530B6">
        <w:rPr>
          <w:rFonts w:ascii="標楷體" w:eastAsia="標楷體" w:hAnsi="標楷體" w:hint="eastAsia"/>
          <w:sz w:val="32"/>
          <w:szCs w:val="32"/>
        </w:rPr>
        <w:t>僅憑表面數字逕予判斷。</w:t>
      </w:r>
    </w:p>
    <w:p w14:paraId="2B9C8B0F" w14:textId="58326BAE" w:rsidR="00A530B6" w:rsidRDefault="00A530B6" w:rsidP="00A530B6">
      <w:pPr>
        <w:pStyle w:val="a3"/>
        <w:numPr>
          <w:ilvl w:val="2"/>
          <w:numId w:val="1"/>
        </w:numPr>
        <w:spacing w:line="560" w:lineRule="exact"/>
        <w:ind w:leftChars="0" w:left="1134" w:hanging="283"/>
        <w:jc w:val="both"/>
        <w:rPr>
          <w:rFonts w:ascii="標楷體" w:eastAsia="標楷體" w:hAnsi="標楷體"/>
          <w:sz w:val="32"/>
          <w:szCs w:val="32"/>
        </w:rPr>
      </w:pPr>
      <w:r w:rsidRPr="00A530B6">
        <w:rPr>
          <w:rFonts w:ascii="標楷體" w:eastAsia="標楷體" w:hAnsi="標楷體" w:hint="eastAsia"/>
          <w:sz w:val="32"/>
          <w:szCs w:val="32"/>
        </w:rPr>
        <w:t>控制點項目與案件數量龐大，分析效率提升有限</w:t>
      </w:r>
    </w:p>
    <w:p w14:paraId="2159C6CF" w14:textId="63B1EC42" w:rsidR="00A530B6" w:rsidRDefault="00A530B6" w:rsidP="00A530B6">
      <w:pPr>
        <w:pStyle w:val="a3"/>
        <w:spacing w:line="560" w:lineRule="exact"/>
        <w:ind w:leftChars="0" w:left="1134" w:firstLineChars="200" w:firstLine="640"/>
        <w:jc w:val="both"/>
        <w:rPr>
          <w:rFonts w:ascii="標楷體" w:eastAsia="標楷體" w:hAnsi="標楷體"/>
          <w:sz w:val="32"/>
          <w:szCs w:val="32"/>
        </w:rPr>
      </w:pPr>
      <w:r w:rsidRPr="00A530B6">
        <w:rPr>
          <w:rFonts w:ascii="標楷體" w:eastAsia="標楷體" w:hAnsi="標楷體" w:hint="eastAsia"/>
          <w:sz w:val="32"/>
          <w:szCs w:val="32"/>
        </w:rPr>
        <w:t>每半年檢送之管制表所列軍購案介於400至500案不等，案件數繁多，又須依案件類別適用不同控制點，並於實體隔離電腦內逐項操作，無法連結外部網路，故近年興起之Python程式語言、大型語言模型及各類雲端分析工具均無從運用，藉資訊科技提升軍購案審計工作效率之程度甚為有限。且因作業高度倚賴人工判斷，不同承辦人員、不同期間所適用之標準難期完全一致，影響同一案件跨期比較之基礎，不利於掌握風險案件之演變趨勢。</w:t>
      </w:r>
    </w:p>
    <w:p w14:paraId="3BC1965D" w14:textId="3D866F75" w:rsidR="00A530B6" w:rsidRDefault="00A530B6" w:rsidP="00A530B6">
      <w:pPr>
        <w:pStyle w:val="a3"/>
        <w:numPr>
          <w:ilvl w:val="2"/>
          <w:numId w:val="1"/>
        </w:numPr>
        <w:spacing w:line="560" w:lineRule="exact"/>
        <w:ind w:leftChars="0" w:left="1134" w:hanging="283"/>
        <w:jc w:val="both"/>
        <w:rPr>
          <w:rFonts w:ascii="標楷體" w:eastAsia="標楷體" w:hAnsi="標楷體"/>
          <w:sz w:val="32"/>
          <w:szCs w:val="32"/>
        </w:rPr>
      </w:pPr>
      <w:r w:rsidRPr="00A530B6">
        <w:rPr>
          <w:rFonts w:ascii="標楷體" w:eastAsia="標楷體" w:hAnsi="標楷體" w:hint="eastAsia"/>
          <w:sz w:val="32"/>
          <w:szCs w:val="32"/>
        </w:rPr>
        <w:t>分析結果同屬機敏資料，難與軍購管制會議紀錄等資料交互勾稽，應用價值受限</w:t>
      </w:r>
    </w:p>
    <w:p w14:paraId="696EA468" w14:textId="3AC96401" w:rsidR="00A530B6" w:rsidRDefault="00A530B6" w:rsidP="00A530B6">
      <w:pPr>
        <w:pStyle w:val="a3"/>
        <w:spacing w:line="560" w:lineRule="exact"/>
        <w:ind w:leftChars="0" w:left="1134" w:firstLineChars="200" w:firstLine="640"/>
        <w:jc w:val="both"/>
        <w:rPr>
          <w:rFonts w:ascii="標楷體" w:eastAsia="標楷體" w:hAnsi="標楷體"/>
          <w:sz w:val="32"/>
          <w:szCs w:val="32"/>
        </w:rPr>
      </w:pPr>
      <w:r w:rsidRPr="00A530B6">
        <w:rPr>
          <w:rFonts w:ascii="標楷體" w:eastAsia="標楷體" w:hAnsi="標楷體" w:hint="eastAsia"/>
          <w:sz w:val="32"/>
          <w:szCs w:val="32"/>
        </w:rPr>
        <w:t>控制點篩選之結果仍屬機敏資料，需留存於實體隔離區，無法</w:t>
      </w:r>
      <w:r w:rsidRPr="00A530B6">
        <w:rPr>
          <w:rFonts w:ascii="標楷體" w:eastAsia="標楷體" w:hAnsi="標楷體" w:hint="eastAsia"/>
          <w:sz w:val="32"/>
          <w:szCs w:val="32"/>
        </w:rPr>
        <w:lastRenderedPageBreak/>
        <w:t>再與各軍種軍購案管制會議紀錄、軍購案備查帳等資料進行交互驗證，惟部分經篩選出之風險案件，可能業於各軍種軍購管制會議中檢討並研處，惟因缺乏勾稽比對之機制，審計人員無從即時確認風險案件之檢討情形，致查核資源未能有效聚焦於尚待處理之案件，分析結果之應用價值因而受限。</w:t>
      </w:r>
    </w:p>
    <w:p w14:paraId="5B0E5613" w14:textId="31780E0D" w:rsidR="00A530B6" w:rsidRDefault="00A530B6" w:rsidP="00A530B6">
      <w:pPr>
        <w:pStyle w:val="a3"/>
        <w:numPr>
          <w:ilvl w:val="2"/>
          <w:numId w:val="1"/>
        </w:numPr>
        <w:spacing w:line="560" w:lineRule="exact"/>
        <w:ind w:leftChars="0" w:left="1134" w:hanging="283"/>
        <w:jc w:val="both"/>
        <w:rPr>
          <w:rFonts w:ascii="標楷體" w:eastAsia="標楷體" w:hAnsi="標楷體"/>
          <w:sz w:val="32"/>
          <w:szCs w:val="32"/>
        </w:rPr>
      </w:pPr>
      <w:r w:rsidRPr="00A530B6">
        <w:rPr>
          <w:rFonts w:ascii="標楷體" w:eastAsia="標楷體" w:hAnsi="標楷體" w:hint="eastAsia"/>
          <w:sz w:val="32"/>
          <w:szCs w:val="32"/>
        </w:rPr>
        <w:t>風險高低缺乏量化與視覺化之基礎，選案倚賴主觀經驗，</w:t>
      </w:r>
      <w:r>
        <w:rPr>
          <w:rFonts w:ascii="標楷體" w:eastAsia="標楷體" w:hAnsi="標楷體" w:hint="eastAsia"/>
          <w:sz w:val="32"/>
          <w:szCs w:val="32"/>
        </w:rPr>
        <w:t>審計</w:t>
      </w:r>
      <w:r w:rsidRPr="00A530B6">
        <w:rPr>
          <w:rFonts w:ascii="標楷體" w:eastAsia="標楷體" w:hAnsi="標楷體" w:hint="eastAsia"/>
          <w:sz w:val="32"/>
          <w:szCs w:val="32"/>
        </w:rPr>
        <w:t>資源</w:t>
      </w:r>
      <w:r>
        <w:rPr>
          <w:rFonts w:ascii="標楷體" w:eastAsia="標楷體" w:hAnsi="標楷體" w:hint="eastAsia"/>
          <w:sz w:val="32"/>
          <w:szCs w:val="32"/>
        </w:rPr>
        <w:t>尚難</w:t>
      </w:r>
      <w:r w:rsidRPr="00A530B6">
        <w:rPr>
          <w:rFonts w:ascii="標楷體" w:eastAsia="標楷體" w:hAnsi="標楷體" w:hint="eastAsia"/>
          <w:sz w:val="32"/>
          <w:szCs w:val="32"/>
        </w:rPr>
        <w:t>精準配置</w:t>
      </w:r>
    </w:p>
    <w:p w14:paraId="65BFE2C9" w14:textId="13C6C882" w:rsidR="00A530B6" w:rsidRDefault="00A530B6" w:rsidP="00A530B6">
      <w:pPr>
        <w:pStyle w:val="a3"/>
        <w:spacing w:line="560" w:lineRule="exact"/>
        <w:ind w:leftChars="0" w:left="1134" w:firstLineChars="200" w:firstLine="640"/>
        <w:jc w:val="both"/>
        <w:rPr>
          <w:rFonts w:ascii="標楷體" w:eastAsia="標楷體" w:hAnsi="標楷體"/>
          <w:sz w:val="32"/>
          <w:szCs w:val="32"/>
        </w:rPr>
      </w:pPr>
      <w:r w:rsidRPr="00A530B6">
        <w:rPr>
          <w:rFonts w:ascii="標楷體" w:eastAsia="標楷體" w:hAnsi="標楷體" w:hint="eastAsia"/>
          <w:sz w:val="32"/>
          <w:szCs w:val="32"/>
        </w:rPr>
        <w:t>逐項套用控制點分析，僅能得出各軍購案是否符合篩選條件之結果，無法進一步量化各案風險程度之高低，亦無跨案比較之整體視覺呈現。面對數百件執行中軍購案時，究應優先查核何案、如何配置有限之查核人力，多倚賴審計人員之主觀經驗與逐案翻查，缺乏客觀、一致且可跨期比較之量化依據，選案之精準度與資源配置之效率均有提升空間。</w:t>
      </w:r>
    </w:p>
    <w:p w14:paraId="4C06E889" w14:textId="24C4A3A0" w:rsidR="00A530B6" w:rsidRDefault="00A530B6" w:rsidP="00A530B6">
      <w:pPr>
        <w:pStyle w:val="a3"/>
        <w:numPr>
          <w:ilvl w:val="1"/>
          <w:numId w:val="1"/>
        </w:numPr>
        <w:spacing w:line="560" w:lineRule="exact"/>
        <w:ind w:leftChars="0"/>
        <w:jc w:val="both"/>
        <w:rPr>
          <w:rFonts w:ascii="標楷體" w:eastAsia="標楷體" w:hAnsi="標楷體"/>
          <w:sz w:val="32"/>
          <w:szCs w:val="32"/>
        </w:rPr>
      </w:pPr>
      <w:r>
        <w:rPr>
          <w:rFonts w:ascii="標楷體" w:eastAsia="標楷體" w:hAnsi="標楷體" w:hint="eastAsia"/>
          <w:sz w:val="32"/>
          <w:szCs w:val="32"/>
        </w:rPr>
        <w:t>因應對策</w:t>
      </w:r>
    </w:p>
    <w:p w14:paraId="5541EEEF" w14:textId="463D781F" w:rsidR="00A530B6" w:rsidRDefault="00A530B6" w:rsidP="00A530B6">
      <w:pPr>
        <w:pStyle w:val="a3"/>
        <w:spacing w:line="560" w:lineRule="exact"/>
        <w:ind w:leftChars="0" w:left="992" w:firstLineChars="200" w:firstLine="640"/>
        <w:jc w:val="both"/>
        <w:rPr>
          <w:rFonts w:ascii="標楷體" w:eastAsia="標楷體" w:hAnsi="標楷體"/>
          <w:sz w:val="32"/>
          <w:szCs w:val="32"/>
        </w:rPr>
      </w:pPr>
      <w:r w:rsidRPr="00A530B6">
        <w:rPr>
          <w:rFonts w:ascii="標楷體" w:eastAsia="標楷體" w:hAnsi="標楷體" w:hint="eastAsia"/>
          <w:sz w:val="32"/>
          <w:szCs w:val="32"/>
        </w:rPr>
        <w:t>為克服前開挑戰，本系統於確保機敏安全之前提下，分階段建置各項功能，俾使上開軍購案之定期篩選與風險評估作業，能以量化精準選案之方式進行。茲將主要對策說明如下：</w:t>
      </w:r>
    </w:p>
    <w:p w14:paraId="3F361E38" w14:textId="24A757C5" w:rsidR="00A530B6" w:rsidRDefault="00A530B6" w:rsidP="00A530B6">
      <w:pPr>
        <w:pStyle w:val="a3"/>
        <w:numPr>
          <w:ilvl w:val="2"/>
          <w:numId w:val="1"/>
        </w:numPr>
        <w:spacing w:line="560" w:lineRule="exact"/>
        <w:ind w:leftChars="0" w:left="1134" w:hanging="283"/>
        <w:jc w:val="both"/>
        <w:rPr>
          <w:rFonts w:ascii="標楷體" w:eastAsia="標楷體" w:hAnsi="標楷體"/>
          <w:sz w:val="32"/>
          <w:szCs w:val="32"/>
        </w:rPr>
      </w:pPr>
      <w:r w:rsidRPr="00A530B6">
        <w:rPr>
          <w:rFonts w:ascii="標楷體" w:eastAsia="標楷體" w:hAnsi="標楷體" w:hint="eastAsia"/>
          <w:sz w:val="32"/>
          <w:szCs w:val="32"/>
        </w:rPr>
        <w:t>建置離線單機、單一自足之分析程式，嚴守機敏資料處理規範</w:t>
      </w:r>
    </w:p>
    <w:p w14:paraId="42DEE8A6" w14:textId="0CF00921" w:rsidR="00A530B6" w:rsidRDefault="00A530B6" w:rsidP="00A530B6">
      <w:pPr>
        <w:pStyle w:val="a3"/>
        <w:spacing w:line="560" w:lineRule="exact"/>
        <w:ind w:leftChars="0" w:left="1134" w:firstLineChars="200" w:firstLine="640"/>
        <w:jc w:val="both"/>
        <w:rPr>
          <w:rFonts w:ascii="標楷體" w:eastAsia="標楷體" w:hAnsi="標楷體"/>
          <w:sz w:val="32"/>
          <w:szCs w:val="32"/>
        </w:rPr>
      </w:pPr>
      <w:r w:rsidRPr="00A530B6">
        <w:rPr>
          <w:rFonts w:ascii="標楷體" w:eastAsia="標楷體" w:hAnsi="標楷體" w:hint="eastAsia"/>
          <w:sz w:val="32"/>
          <w:szCs w:val="32"/>
        </w:rPr>
        <w:t>利用大型語言模型，協助完成單一網頁檔案（HTML）之開發後，匯入機密實體隔離電腦，並已將試算表解析等所需元件一併內嵌其中，毋須安裝任何軟體、毋須連結網路，於實體隔離電腦上以瀏覽器直接開啟即可使用。使用者僅須將國防部來函檢送之管制表匯入，系統即於本機記憶體內完成全部運算，不上傳任何資料至外部伺服器，關閉瀏覽器後資料即行清除，除使資訊分析得以在實體隔離之機密環境中運行，突破過往無法運用資訊工具之限制，亦符</w:t>
      </w:r>
      <w:r w:rsidRPr="00A530B6">
        <w:rPr>
          <w:rFonts w:ascii="標楷體" w:eastAsia="標楷體" w:hAnsi="標楷體" w:hint="eastAsia"/>
          <w:sz w:val="32"/>
          <w:szCs w:val="32"/>
        </w:rPr>
        <w:lastRenderedPageBreak/>
        <w:t>合機敏資料不得外洩之要求。</w:t>
      </w:r>
    </w:p>
    <w:p w14:paraId="6F9AFADF" w14:textId="71288F62" w:rsidR="00A530B6" w:rsidRDefault="00A530B6" w:rsidP="0061060E">
      <w:pPr>
        <w:pStyle w:val="a3"/>
        <w:numPr>
          <w:ilvl w:val="2"/>
          <w:numId w:val="1"/>
        </w:numPr>
        <w:spacing w:line="560" w:lineRule="exact"/>
        <w:ind w:leftChars="0" w:left="1134" w:hanging="283"/>
        <w:jc w:val="both"/>
        <w:rPr>
          <w:rFonts w:ascii="標楷體" w:eastAsia="標楷體" w:hAnsi="標楷體"/>
          <w:sz w:val="32"/>
          <w:szCs w:val="32"/>
        </w:rPr>
      </w:pPr>
      <w:r w:rsidRPr="00A530B6">
        <w:rPr>
          <w:rFonts w:ascii="標楷體" w:eastAsia="標楷體" w:hAnsi="標楷體" w:hint="eastAsia"/>
          <w:sz w:val="32"/>
          <w:szCs w:val="32"/>
        </w:rPr>
        <w:t>以審計經驗發想控制點，沿軍購金流節點設計風險篩選條件</w:t>
      </w:r>
    </w:p>
    <w:p w14:paraId="3C118475" w14:textId="0E3D579A" w:rsidR="00A530B6" w:rsidRDefault="00FD4EFA" w:rsidP="00A530B6">
      <w:pPr>
        <w:pStyle w:val="a3"/>
        <w:spacing w:line="560" w:lineRule="exact"/>
        <w:ind w:leftChars="0" w:left="1134" w:firstLineChars="200" w:firstLine="480"/>
        <w:jc w:val="both"/>
        <w:rPr>
          <w:rFonts w:ascii="標楷體" w:eastAsia="標楷體" w:hAnsi="標楷體"/>
          <w:sz w:val="32"/>
          <w:szCs w:val="32"/>
        </w:rPr>
      </w:pPr>
      <w:r>
        <w:rPr>
          <w:noProof/>
        </w:rPr>
        <mc:AlternateContent>
          <mc:Choice Requires="wps">
            <w:drawing>
              <wp:anchor distT="45720" distB="45720" distL="114300" distR="114300" simplePos="0" relativeHeight="251659264" behindDoc="0" locked="0" layoutInCell="1" allowOverlap="1" wp14:anchorId="1DDDA56E" wp14:editId="0392C2AE">
                <wp:simplePos x="0" y="0"/>
                <wp:positionH relativeFrom="margin">
                  <wp:align>right</wp:align>
                </wp:positionH>
                <wp:positionV relativeFrom="paragraph">
                  <wp:posOffset>2569845</wp:posOffset>
                </wp:positionV>
                <wp:extent cx="5819775" cy="3305175"/>
                <wp:effectExtent l="0" t="0" r="28575" b="2857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3305175"/>
                        </a:xfrm>
                        <a:prstGeom prst="rect">
                          <a:avLst/>
                        </a:prstGeom>
                        <a:solidFill>
                          <a:srgbClr val="FFFFFF"/>
                        </a:solidFill>
                        <a:ln w="9525">
                          <a:solidFill>
                            <a:srgbClr val="000000"/>
                          </a:solidFill>
                          <a:miter lim="800000"/>
                          <a:headEnd/>
                          <a:tailEnd/>
                        </a:ln>
                      </wps:spPr>
                      <wps:txbx>
                        <w:txbxContent>
                          <w:p w14:paraId="36BCC309" w14:textId="77777777" w:rsidR="00FD4EFA" w:rsidRPr="002C43C0" w:rsidRDefault="00FD4EFA" w:rsidP="00FD4EFA">
                            <w:pPr>
                              <w:spacing w:line="360" w:lineRule="exact"/>
                              <w:jc w:val="center"/>
                              <w:rPr>
                                <w:rFonts w:ascii="標楷體" w:eastAsia="標楷體" w:hAnsi="標楷體" w:hint="eastAsia"/>
                                <w:b/>
                                <w:bCs/>
                                <w:sz w:val="28"/>
                                <w:szCs w:val="24"/>
                              </w:rPr>
                            </w:pPr>
                            <w:r w:rsidRPr="002C43C0">
                              <w:rPr>
                                <w:rFonts w:ascii="標楷體" w:eastAsia="標楷體" w:hAnsi="標楷體" w:hint="eastAsia"/>
                                <w:b/>
                                <w:bCs/>
                                <w:sz w:val="28"/>
                                <w:szCs w:val="24"/>
                              </w:rPr>
                              <w:t>表1　軍購案風險態樣與控制點設計邏輯</w:t>
                            </w:r>
                          </w:p>
                          <w:tbl>
                            <w:tblPr>
                              <w:tblStyle w:val="a4"/>
                              <w:tblW w:w="8912" w:type="dxa"/>
                              <w:tblLook w:val="04A0" w:firstRow="1" w:lastRow="0" w:firstColumn="1" w:lastColumn="0" w:noHBand="0" w:noVBand="1"/>
                            </w:tblPr>
                            <w:tblGrid>
                              <w:gridCol w:w="1131"/>
                              <w:gridCol w:w="1894"/>
                              <w:gridCol w:w="2654"/>
                              <w:gridCol w:w="3233"/>
                            </w:tblGrid>
                            <w:tr w:rsidR="00FD4EFA" w:rsidRPr="00162D5B" w14:paraId="33DCB0D1" w14:textId="77777777" w:rsidTr="007527D1">
                              <w:trPr>
                                <w:trHeight w:val="20"/>
                              </w:trPr>
                              <w:tc>
                                <w:tcPr>
                                  <w:tcW w:w="1131" w:type="dxa"/>
                                  <w:vAlign w:val="center"/>
                                </w:tcPr>
                                <w:p w14:paraId="0292FE20" w14:textId="77777777" w:rsidR="00FD4EFA" w:rsidRPr="00FD4EFA" w:rsidRDefault="00FD4EFA" w:rsidP="002C43C0">
                                  <w:pPr>
                                    <w:overflowPunct w:val="0"/>
                                    <w:spacing w:line="360" w:lineRule="exact"/>
                                    <w:jc w:val="center"/>
                                    <w:rPr>
                                      <w:rFonts w:ascii="標楷體" w:eastAsia="標楷體" w:hAnsi="標楷體"/>
                                      <w:spacing w:val="-20"/>
                                      <w:sz w:val="28"/>
                                      <w:szCs w:val="28"/>
                                    </w:rPr>
                                  </w:pPr>
                                  <w:proofErr w:type="spellStart"/>
                                  <w:r w:rsidRPr="00FD4EFA">
                                    <w:rPr>
                                      <w:rFonts w:ascii="標楷體" w:eastAsia="標楷體" w:hAnsi="標楷體" w:hint="eastAsia"/>
                                      <w:spacing w:val="-20"/>
                                      <w:sz w:val="28"/>
                                      <w:szCs w:val="28"/>
                                    </w:rPr>
                                    <w:t>項次</w:t>
                                  </w:r>
                                  <w:proofErr w:type="spellEnd"/>
                                </w:p>
                              </w:tc>
                              <w:tc>
                                <w:tcPr>
                                  <w:tcW w:w="1894" w:type="dxa"/>
                                  <w:vAlign w:val="center"/>
                                </w:tcPr>
                                <w:p w14:paraId="5C2BBA89" w14:textId="77777777" w:rsidR="00FD4EFA" w:rsidRPr="00FD4EFA" w:rsidRDefault="00FD4EFA" w:rsidP="002C43C0">
                                  <w:pPr>
                                    <w:overflowPunct w:val="0"/>
                                    <w:spacing w:line="360" w:lineRule="exact"/>
                                    <w:jc w:val="center"/>
                                    <w:rPr>
                                      <w:rFonts w:ascii="標楷體" w:eastAsia="標楷體" w:hAnsi="標楷體"/>
                                      <w:spacing w:val="-20"/>
                                      <w:sz w:val="28"/>
                                      <w:szCs w:val="28"/>
                                    </w:rPr>
                                  </w:pPr>
                                  <w:proofErr w:type="spellStart"/>
                                  <w:r w:rsidRPr="00FD4EFA">
                                    <w:rPr>
                                      <w:rFonts w:ascii="標楷體" w:eastAsia="標楷體" w:hAnsi="標楷體"/>
                                      <w:spacing w:val="-20"/>
                                      <w:sz w:val="28"/>
                                      <w:szCs w:val="28"/>
                                    </w:rPr>
                                    <w:t>金流節點</w:t>
                                  </w:r>
                                  <w:proofErr w:type="spellEnd"/>
                                </w:p>
                              </w:tc>
                              <w:tc>
                                <w:tcPr>
                                  <w:tcW w:w="2654" w:type="dxa"/>
                                  <w:vAlign w:val="center"/>
                                </w:tcPr>
                                <w:p w14:paraId="149FFA5B" w14:textId="77777777" w:rsidR="00FD4EFA" w:rsidRPr="00FD4EFA" w:rsidRDefault="00FD4EFA" w:rsidP="002C43C0">
                                  <w:pPr>
                                    <w:overflowPunct w:val="0"/>
                                    <w:spacing w:line="360" w:lineRule="exact"/>
                                    <w:jc w:val="center"/>
                                    <w:rPr>
                                      <w:rFonts w:ascii="標楷體" w:eastAsia="標楷體" w:hAnsi="標楷體"/>
                                      <w:spacing w:val="-20"/>
                                      <w:sz w:val="28"/>
                                      <w:szCs w:val="28"/>
                                    </w:rPr>
                                  </w:pPr>
                                  <w:proofErr w:type="spellStart"/>
                                  <w:r w:rsidRPr="00FD4EFA">
                                    <w:rPr>
                                      <w:rFonts w:ascii="標楷體" w:eastAsia="標楷體" w:hAnsi="標楷體"/>
                                      <w:spacing w:val="-20"/>
                                      <w:sz w:val="28"/>
                                      <w:szCs w:val="28"/>
                                    </w:rPr>
                                    <w:t>風險意涵</w:t>
                                  </w:r>
                                  <w:proofErr w:type="spellEnd"/>
                                </w:p>
                              </w:tc>
                              <w:tc>
                                <w:tcPr>
                                  <w:tcW w:w="3233" w:type="dxa"/>
                                  <w:vAlign w:val="center"/>
                                </w:tcPr>
                                <w:p w14:paraId="585444B5" w14:textId="77777777" w:rsidR="00FD4EFA" w:rsidRPr="00FD4EFA" w:rsidRDefault="00FD4EFA" w:rsidP="002C43C0">
                                  <w:pPr>
                                    <w:overflowPunct w:val="0"/>
                                    <w:spacing w:line="360" w:lineRule="exact"/>
                                    <w:jc w:val="center"/>
                                    <w:rPr>
                                      <w:rFonts w:ascii="標楷體" w:eastAsia="標楷體" w:hAnsi="標楷體"/>
                                      <w:spacing w:val="-20"/>
                                      <w:sz w:val="28"/>
                                      <w:szCs w:val="28"/>
                                    </w:rPr>
                                  </w:pPr>
                                  <w:proofErr w:type="spellStart"/>
                                  <w:r w:rsidRPr="00FD4EFA">
                                    <w:rPr>
                                      <w:rFonts w:ascii="標楷體" w:eastAsia="標楷體" w:hAnsi="標楷體"/>
                                      <w:spacing w:val="-20"/>
                                      <w:sz w:val="28"/>
                                      <w:szCs w:val="28"/>
                                    </w:rPr>
                                    <w:t>控制點設計重點</w:t>
                                  </w:r>
                                  <w:proofErr w:type="spellEnd"/>
                                </w:p>
                              </w:tc>
                            </w:tr>
                            <w:tr w:rsidR="00FD4EFA" w:rsidRPr="00162D5B" w14:paraId="2EA46793" w14:textId="77777777" w:rsidTr="007527D1">
                              <w:trPr>
                                <w:trHeight w:val="20"/>
                              </w:trPr>
                              <w:tc>
                                <w:tcPr>
                                  <w:tcW w:w="1131" w:type="dxa"/>
                                  <w:vAlign w:val="center"/>
                                </w:tcPr>
                                <w:p w14:paraId="34780C55" w14:textId="77777777" w:rsidR="00FD4EFA" w:rsidRPr="00162D5B" w:rsidRDefault="00FD4EFA" w:rsidP="002C43C0">
                                  <w:pPr>
                                    <w:overflowPunct w:val="0"/>
                                    <w:spacing w:line="360" w:lineRule="exact"/>
                                    <w:jc w:val="center"/>
                                    <w:rPr>
                                      <w:rFonts w:ascii="標楷體" w:eastAsia="標楷體" w:hAnsi="標楷體"/>
                                      <w:sz w:val="28"/>
                                      <w:szCs w:val="28"/>
                                    </w:rPr>
                                  </w:pPr>
                                  <w:r>
                                    <w:rPr>
                                      <w:rFonts w:ascii="標楷體" w:eastAsia="標楷體" w:hAnsi="標楷體" w:hint="eastAsia"/>
                                      <w:sz w:val="28"/>
                                      <w:szCs w:val="28"/>
                                      <w:lang w:eastAsia="zh-TW"/>
                                    </w:rPr>
                                    <w:t>1</w:t>
                                  </w:r>
                                </w:p>
                              </w:tc>
                              <w:tc>
                                <w:tcPr>
                                  <w:tcW w:w="1894" w:type="dxa"/>
                                  <w:vAlign w:val="center"/>
                                </w:tcPr>
                                <w:p w14:paraId="7C7DDA83" w14:textId="77777777" w:rsidR="00FD4EFA" w:rsidRPr="00162D5B" w:rsidRDefault="00FD4EFA" w:rsidP="002C43C0">
                                  <w:pPr>
                                    <w:overflowPunct w:val="0"/>
                                    <w:spacing w:line="360" w:lineRule="exact"/>
                                    <w:jc w:val="center"/>
                                    <w:rPr>
                                      <w:rFonts w:ascii="標楷體" w:eastAsia="標楷體" w:hAnsi="標楷體"/>
                                      <w:sz w:val="28"/>
                                      <w:szCs w:val="28"/>
                                    </w:rPr>
                                  </w:pPr>
                                  <w:proofErr w:type="spellStart"/>
                                  <w:r w:rsidRPr="00162D5B">
                                    <w:rPr>
                                      <w:rFonts w:ascii="標楷體" w:eastAsia="標楷體" w:hAnsi="標楷體"/>
                                      <w:sz w:val="28"/>
                                      <w:szCs w:val="28"/>
                                    </w:rPr>
                                    <w:t>結匯付款</w:t>
                                  </w:r>
                                  <w:proofErr w:type="spellEnd"/>
                                </w:p>
                              </w:tc>
                              <w:tc>
                                <w:tcPr>
                                  <w:tcW w:w="2654" w:type="dxa"/>
                                  <w:vAlign w:val="center"/>
                                </w:tcPr>
                                <w:p w14:paraId="0334D84B"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付款超前美方實需、資金大量滯存FRB</w:t>
                                  </w:r>
                                  <w:r>
                                    <w:rPr>
                                      <w:rFonts w:ascii="標楷體" w:eastAsia="標楷體" w:hAnsi="標楷體" w:hint="eastAsia"/>
                                      <w:sz w:val="28"/>
                                      <w:szCs w:val="28"/>
                                      <w:lang w:eastAsia="zh-TW"/>
                                    </w:rPr>
                                    <w:t>。</w:t>
                                  </w:r>
                                </w:p>
                              </w:tc>
                              <w:tc>
                                <w:tcPr>
                                  <w:tcW w:w="3233" w:type="dxa"/>
                                  <w:vAlign w:val="center"/>
                                </w:tcPr>
                                <w:p w14:paraId="1D5A5CBC"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結匯率逾100%（溢付帳務異常）、FRB餘額佔結匯值比率偏高</w:t>
                                  </w:r>
                                  <w:r>
                                    <w:rPr>
                                      <w:rFonts w:ascii="標楷體" w:eastAsia="標楷體" w:hAnsi="標楷體" w:hint="eastAsia"/>
                                      <w:sz w:val="28"/>
                                      <w:szCs w:val="28"/>
                                      <w:lang w:eastAsia="zh-TW"/>
                                    </w:rPr>
                                    <w:t>。</w:t>
                                  </w:r>
                                </w:p>
                              </w:tc>
                            </w:tr>
                            <w:tr w:rsidR="00FD4EFA" w:rsidRPr="00162D5B" w14:paraId="470E09A4" w14:textId="77777777" w:rsidTr="007527D1">
                              <w:trPr>
                                <w:trHeight w:val="20"/>
                              </w:trPr>
                              <w:tc>
                                <w:tcPr>
                                  <w:tcW w:w="1131" w:type="dxa"/>
                                  <w:vAlign w:val="center"/>
                                </w:tcPr>
                                <w:p w14:paraId="7426439F" w14:textId="77777777" w:rsidR="00FD4EFA" w:rsidRPr="00162D5B" w:rsidRDefault="00FD4EFA" w:rsidP="002C43C0">
                                  <w:pPr>
                                    <w:overflowPunct w:val="0"/>
                                    <w:spacing w:line="360" w:lineRule="exact"/>
                                    <w:jc w:val="center"/>
                                    <w:rPr>
                                      <w:rFonts w:ascii="標楷體" w:eastAsia="標楷體" w:hAnsi="標楷體"/>
                                      <w:sz w:val="28"/>
                                      <w:szCs w:val="28"/>
                                    </w:rPr>
                                  </w:pPr>
                                  <w:r>
                                    <w:rPr>
                                      <w:rFonts w:ascii="標楷體" w:eastAsia="標楷體" w:hAnsi="標楷體" w:hint="eastAsia"/>
                                      <w:sz w:val="28"/>
                                      <w:szCs w:val="28"/>
                                      <w:lang w:eastAsia="zh-TW"/>
                                    </w:rPr>
                                    <w:t>2</w:t>
                                  </w:r>
                                </w:p>
                              </w:tc>
                              <w:tc>
                                <w:tcPr>
                                  <w:tcW w:w="1894" w:type="dxa"/>
                                  <w:vAlign w:val="center"/>
                                </w:tcPr>
                                <w:p w14:paraId="7AFD2711" w14:textId="77777777" w:rsidR="00FD4EFA" w:rsidRPr="00162D5B" w:rsidRDefault="00FD4EFA" w:rsidP="002C43C0">
                                  <w:pPr>
                                    <w:overflowPunct w:val="0"/>
                                    <w:spacing w:line="360" w:lineRule="exact"/>
                                    <w:jc w:val="center"/>
                                    <w:rPr>
                                      <w:rFonts w:ascii="標楷體" w:eastAsia="標楷體" w:hAnsi="標楷體"/>
                                      <w:sz w:val="28"/>
                                      <w:szCs w:val="28"/>
                                    </w:rPr>
                                  </w:pPr>
                                  <w:proofErr w:type="spellStart"/>
                                  <w:r w:rsidRPr="00162D5B">
                                    <w:rPr>
                                      <w:rFonts w:ascii="標楷體" w:eastAsia="標楷體" w:hAnsi="標楷體"/>
                                      <w:sz w:val="28"/>
                                      <w:szCs w:val="28"/>
                                    </w:rPr>
                                    <w:t>美方提領</w:t>
                                  </w:r>
                                  <w:proofErr w:type="spellEnd"/>
                                </w:p>
                              </w:tc>
                              <w:tc>
                                <w:tcPr>
                                  <w:tcW w:w="2654" w:type="dxa"/>
                                  <w:vAlign w:val="center"/>
                                </w:tcPr>
                                <w:p w14:paraId="5CD09E33"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已自FRB提領動支卻無交運，履約異常</w:t>
                                  </w:r>
                                  <w:r>
                                    <w:rPr>
                                      <w:rFonts w:ascii="標楷體" w:eastAsia="標楷體" w:hAnsi="標楷體" w:hint="eastAsia"/>
                                      <w:sz w:val="28"/>
                                      <w:szCs w:val="28"/>
                                      <w:lang w:eastAsia="zh-TW"/>
                                    </w:rPr>
                                    <w:t>。</w:t>
                                  </w:r>
                                </w:p>
                              </w:tc>
                              <w:tc>
                                <w:tcPr>
                                  <w:tcW w:w="3233" w:type="dxa"/>
                                  <w:vAlign w:val="center"/>
                                </w:tcPr>
                                <w:p w14:paraId="4A520170"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交運值不及已提領金額之一成，且差額重大</w:t>
                                  </w:r>
                                  <w:r>
                                    <w:rPr>
                                      <w:rFonts w:ascii="標楷體" w:eastAsia="標楷體" w:hAnsi="標楷體" w:hint="eastAsia"/>
                                      <w:sz w:val="28"/>
                                      <w:szCs w:val="28"/>
                                      <w:lang w:eastAsia="zh-TW"/>
                                    </w:rPr>
                                    <w:t>。</w:t>
                                  </w:r>
                                </w:p>
                              </w:tc>
                            </w:tr>
                            <w:tr w:rsidR="00FD4EFA" w:rsidRPr="00162D5B" w14:paraId="115FBD92" w14:textId="77777777" w:rsidTr="007527D1">
                              <w:trPr>
                                <w:trHeight w:val="20"/>
                              </w:trPr>
                              <w:tc>
                                <w:tcPr>
                                  <w:tcW w:w="1131" w:type="dxa"/>
                                  <w:vAlign w:val="center"/>
                                </w:tcPr>
                                <w:p w14:paraId="0094BE43" w14:textId="77777777" w:rsidR="00FD4EFA" w:rsidRPr="00162D5B" w:rsidRDefault="00FD4EFA" w:rsidP="002C43C0">
                                  <w:pPr>
                                    <w:overflowPunct w:val="0"/>
                                    <w:spacing w:line="360" w:lineRule="exact"/>
                                    <w:jc w:val="center"/>
                                    <w:rPr>
                                      <w:rFonts w:ascii="標楷體" w:eastAsia="標楷體" w:hAnsi="標楷體"/>
                                      <w:sz w:val="28"/>
                                      <w:szCs w:val="28"/>
                                    </w:rPr>
                                  </w:pPr>
                                  <w:r>
                                    <w:rPr>
                                      <w:rFonts w:ascii="標楷體" w:eastAsia="標楷體" w:hAnsi="標楷體" w:hint="eastAsia"/>
                                      <w:sz w:val="28"/>
                                      <w:szCs w:val="28"/>
                                      <w:lang w:eastAsia="zh-TW"/>
                                    </w:rPr>
                                    <w:t>3</w:t>
                                  </w:r>
                                </w:p>
                              </w:tc>
                              <w:tc>
                                <w:tcPr>
                                  <w:tcW w:w="1894" w:type="dxa"/>
                                  <w:vAlign w:val="center"/>
                                </w:tcPr>
                                <w:p w14:paraId="6553B01C" w14:textId="77777777" w:rsidR="00FD4EFA" w:rsidRPr="00162D5B" w:rsidRDefault="00FD4EFA" w:rsidP="002C43C0">
                                  <w:pPr>
                                    <w:overflowPunct w:val="0"/>
                                    <w:spacing w:line="360" w:lineRule="exact"/>
                                    <w:jc w:val="center"/>
                                    <w:rPr>
                                      <w:rFonts w:ascii="標楷體" w:eastAsia="標楷體" w:hAnsi="標楷體"/>
                                      <w:sz w:val="28"/>
                                      <w:szCs w:val="28"/>
                                    </w:rPr>
                                  </w:pPr>
                                  <w:proofErr w:type="spellStart"/>
                                  <w:r w:rsidRPr="00162D5B">
                                    <w:rPr>
                                      <w:rFonts w:ascii="標楷體" w:eastAsia="標楷體" w:hAnsi="標楷體"/>
                                      <w:sz w:val="28"/>
                                      <w:szCs w:val="28"/>
                                    </w:rPr>
                                    <w:t>交運驗收</w:t>
                                  </w:r>
                                  <w:proofErr w:type="spellEnd"/>
                                </w:p>
                              </w:tc>
                              <w:tc>
                                <w:tcPr>
                                  <w:tcW w:w="2654" w:type="dxa"/>
                                  <w:vAlign w:val="center"/>
                                </w:tcPr>
                                <w:p w14:paraId="5697FC9C"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交運進度落後付款進度、在途物資偏高</w:t>
                                  </w:r>
                                  <w:r>
                                    <w:rPr>
                                      <w:rFonts w:ascii="標楷體" w:eastAsia="標楷體" w:hAnsi="標楷體" w:hint="eastAsia"/>
                                      <w:sz w:val="28"/>
                                      <w:szCs w:val="28"/>
                                      <w:lang w:eastAsia="zh-TW"/>
                                    </w:rPr>
                                    <w:t>。</w:t>
                                  </w:r>
                                </w:p>
                              </w:tc>
                              <w:tc>
                                <w:tcPr>
                                  <w:tcW w:w="3233" w:type="dxa"/>
                                  <w:vAlign w:val="center"/>
                                </w:tcPr>
                                <w:p w14:paraId="1FC2DB32"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交運率未達門檻、付款與交運差異達門檻且備查帳餘額重大</w:t>
                                  </w:r>
                                  <w:r>
                                    <w:rPr>
                                      <w:rFonts w:ascii="標楷體" w:eastAsia="標楷體" w:hAnsi="標楷體" w:hint="eastAsia"/>
                                      <w:sz w:val="28"/>
                                      <w:szCs w:val="28"/>
                                      <w:lang w:eastAsia="zh-TW"/>
                                    </w:rPr>
                                    <w:t>。</w:t>
                                  </w:r>
                                </w:p>
                              </w:tc>
                            </w:tr>
                            <w:tr w:rsidR="00FD4EFA" w:rsidRPr="00162D5B" w14:paraId="3F93E59D" w14:textId="77777777" w:rsidTr="007527D1">
                              <w:trPr>
                                <w:trHeight w:val="20"/>
                              </w:trPr>
                              <w:tc>
                                <w:tcPr>
                                  <w:tcW w:w="1131" w:type="dxa"/>
                                  <w:vAlign w:val="center"/>
                                </w:tcPr>
                                <w:p w14:paraId="20F84A8E" w14:textId="77777777" w:rsidR="00FD4EFA" w:rsidRPr="00162D5B" w:rsidRDefault="00FD4EFA" w:rsidP="002C43C0">
                                  <w:pPr>
                                    <w:overflowPunct w:val="0"/>
                                    <w:spacing w:line="360" w:lineRule="exact"/>
                                    <w:jc w:val="center"/>
                                    <w:rPr>
                                      <w:rFonts w:ascii="標楷體" w:eastAsia="標楷體" w:hAnsi="標楷體"/>
                                      <w:sz w:val="28"/>
                                      <w:szCs w:val="28"/>
                                    </w:rPr>
                                  </w:pPr>
                                  <w:r>
                                    <w:rPr>
                                      <w:rFonts w:ascii="標楷體" w:eastAsia="標楷體" w:hAnsi="標楷體" w:hint="eastAsia"/>
                                      <w:sz w:val="28"/>
                                      <w:szCs w:val="28"/>
                                      <w:lang w:eastAsia="zh-TW"/>
                                    </w:rPr>
                                    <w:t>4</w:t>
                                  </w:r>
                                </w:p>
                              </w:tc>
                              <w:tc>
                                <w:tcPr>
                                  <w:tcW w:w="1894" w:type="dxa"/>
                                  <w:vAlign w:val="center"/>
                                </w:tcPr>
                                <w:p w14:paraId="7050EC1F" w14:textId="77777777" w:rsidR="00FD4EFA" w:rsidRPr="00162D5B" w:rsidRDefault="00FD4EFA" w:rsidP="002C43C0">
                                  <w:pPr>
                                    <w:overflowPunct w:val="0"/>
                                    <w:spacing w:line="360" w:lineRule="exact"/>
                                    <w:jc w:val="center"/>
                                    <w:rPr>
                                      <w:rFonts w:ascii="標楷體" w:eastAsia="標楷體" w:hAnsi="標楷體"/>
                                      <w:sz w:val="28"/>
                                      <w:szCs w:val="28"/>
                                    </w:rPr>
                                  </w:pPr>
                                  <w:proofErr w:type="spellStart"/>
                                  <w:r w:rsidRPr="00162D5B">
                                    <w:rPr>
                                      <w:rFonts w:ascii="標楷體" w:eastAsia="標楷體" w:hAnsi="標楷體"/>
                                      <w:sz w:val="28"/>
                                      <w:szCs w:val="28"/>
                                    </w:rPr>
                                    <w:t>例外態樣</w:t>
                                  </w:r>
                                  <w:proofErr w:type="spellEnd"/>
                                </w:p>
                              </w:tc>
                              <w:tc>
                                <w:tcPr>
                                  <w:tcW w:w="2654" w:type="dxa"/>
                                  <w:vAlign w:val="center"/>
                                </w:tcPr>
                                <w:p w14:paraId="6B7F467D"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帳務異常或我方積欠案款</w:t>
                                  </w:r>
                                  <w:r>
                                    <w:rPr>
                                      <w:rFonts w:ascii="標楷體" w:eastAsia="標楷體" w:hAnsi="標楷體" w:hint="eastAsia"/>
                                      <w:sz w:val="28"/>
                                      <w:szCs w:val="28"/>
                                      <w:lang w:eastAsia="zh-TW"/>
                                    </w:rPr>
                                    <w:t>。</w:t>
                                  </w:r>
                                </w:p>
                              </w:tc>
                              <w:tc>
                                <w:tcPr>
                                  <w:tcW w:w="3233" w:type="dxa"/>
                                  <w:vAlign w:val="center"/>
                                </w:tcPr>
                                <w:p w14:paraId="0CC0128A"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結匯率逾100%、待平衡支付值大於0（欠款案件）</w:t>
                                  </w:r>
                                  <w:r>
                                    <w:rPr>
                                      <w:rFonts w:ascii="標楷體" w:eastAsia="標楷體" w:hAnsi="標楷體" w:hint="eastAsia"/>
                                      <w:sz w:val="28"/>
                                      <w:szCs w:val="28"/>
                                      <w:lang w:eastAsia="zh-TW"/>
                                    </w:rPr>
                                    <w:t>。</w:t>
                                  </w:r>
                                </w:p>
                              </w:tc>
                            </w:tr>
                          </w:tbl>
                          <w:p w14:paraId="27DC9BB1" w14:textId="77777777" w:rsidR="00FD4EFA" w:rsidRPr="007527D1" w:rsidRDefault="00FD4EFA" w:rsidP="00FD4EFA">
                            <w:pPr>
                              <w:spacing w:line="280" w:lineRule="exact"/>
                              <w:rPr>
                                <w:rFonts w:ascii="標楷體" w:eastAsia="標楷體" w:hAnsi="標楷體"/>
                                <w:sz w:val="20"/>
                                <w:szCs w:val="18"/>
                              </w:rPr>
                            </w:pPr>
                            <w:r w:rsidRPr="007527D1">
                              <w:rPr>
                                <w:rFonts w:ascii="標楷體" w:eastAsia="標楷體" w:hAnsi="標楷體" w:hint="eastAsia"/>
                                <w:sz w:val="20"/>
                                <w:szCs w:val="18"/>
                              </w:rPr>
                              <w:t>資料來源：本次系統開發過程自行整理。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DDA56E" id="_x0000_t202" coordsize="21600,21600" o:spt="202" path="m,l,21600r21600,l21600,xe">
                <v:stroke joinstyle="miter"/>
                <v:path gradientshapeok="t" o:connecttype="rect"/>
              </v:shapetype>
              <v:shape id="文字方塊 2" o:spid="_x0000_s1026" type="#_x0000_t202" style="position:absolute;left:0;text-align:left;margin-left:407.05pt;margin-top:202.35pt;width:458.25pt;height:260.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">
                <v:textbox>
                  <w:txbxContent>
                    <w:p w14:paraId="36BCC309" w14:textId="77777777" w:rsidR="00FD4EFA" w:rsidRPr="002C43C0" w:rsidRDefault="00FD4EFA" w:rsidP="00FD4EFA">
                      <w:pPr>
                        <w:spacing w:line="360" w:lineRule="exact"/>
                        <w:jc w:val="center"/>
                        <w:rPr>
                          <w:rFonts w:ascii="標楷體" w:eastAsia="標楷體" w:hAnsi="標楷體" w:hint="eastAsia"/>
                          <w:b/>
                          <w:bCs/>
                          <w:sz w:val="28"/>
                          <w:szCs w:val="24"/>
                        </w:rPr>
                      </w:pPr>
                      <w:r w:rsidRPr="002C43C0">
                        <w:rPr>
                          <w:rFonts w:ascii="標楷體" w:eastAsia="標楷體" w:hAnsi="標楷體" w:hint="eastAsia"/>
                          <w:b/>
                          <w:bCs/>
                          <w:sz w:val="28"/>
                          <w:szCs w:val="24"/>
                        </w:rPr>
                        <w:t>表1　軍購案風險態樣與控制點設計邏輯</w:t>
                      </w:r>
                    </w:p>
                    <w:tbl>
                      <w:tblPr>
                        <w:tblStyle w:val="a4"/>
                        <w:tblW w:w="8912" w:type="dxa"/>
                        <w:tblLook w:val="04A0" w:firstRow="1" w:lastRow="0" w:firstColumn="1" w:lastColumn="0" w:noHBand="0" w:noVBand="1"/>
                      </w:tblPr>
                      <w:tblGrid>
                        <w:gridCol w:w="1131"/>
                        <w:gridCol w:w="1894"/>
                        <w:gridCol w:w="2654"/>
                        <w:gridCol w:w="3233"/>
                      </w:tblGrid>
                      <w:tr w:rsidR="00FD4EFA" w:rsidRPr="00162D5B" w14:paraId="33DCB0D1" w14:textId="77777777" w:rsidTr="007527D1">
                        <w:trPr>
                          <w:trHeight w:val="20"/>
                        </w:trPr>
                        <w:tc>
                          <w:tcPr>
                            <w:tcW w:w="1131" w:type="dxa"/>
                            <w:vAlign w:val="center"/>
                          </w:tcPr>
                          <w:p w14:paraId="0292FE20" w14:textId="77777777" w:rsidR="00FD4EFA" w:rsidRPr="00FD4EFA" w:rsidRDefault="00FD4EFA" w:rsidP="002C43C0">
                            <w:pPr>
                              <w:overflowPunct w:val="0"/>
                              <w:spacing w:line="360" w:lineRule="exact"/>
                              <w:jc w:val="center"/>
                              <w:rPr>
                                <w:rFonts w:ascii="標楷體" w:eastAsia="標楷體" w:hAnsi="標楷體"/>
                                <w:spacing w:val="-20"/>
                                <w:sz w:val="28"/>
                                <w:szCs w:val="28"/>
                              </w:rPr>
                            </w:pPr>
                            <w:proofErr w:type="spellStart"/>
                            <w:r w:rsidRPr="00FD4EFA">
                              <w:rPr>
                                <w:rFonts w:ascii="標楷體" w:eastAsia="標楷體" w:hAnsi="標楷體" w:hint="eastAsia"/>
                                <w:spacing w:val="-20"/>
                                <w:sz w:val="28"/>
                                <w:szCs w:val="28"/>
                              </w:rPr>
                              <w:t>項次</w:t>
                            </w:r>
                            <w:proofErr w:type="spellEnd"/>
                          </w:p>
                        </w:tc>
                        <w:tc>
                          <w:tcPr>
                            <w:tcW w:w="1894" w:type="dxa"/>
                            <w:vAlign w:val="center"/>
                          </w:tcPr>
                          <w:p w14:paraId="5C2BBA89" w14:textId="77777777" w:rsidR="00FD4EFA" w:rsidRPr="00FD4EFA" w:rsidRDefault="00FD4EFA" w:rsidP="002C43C0">
                            <w:pPr>
                              <w:overflowPunct w:val="0"/>
                              <w:spacing w:line="360" w:lineRule="exact"/>
                              <w:jc w:val="center"/>
                              <w:rPr>
                                <w:rFonts w:ascii="標楷體" w:eastAsia="標楷體" w:hAnsi="標楷體"/>
                                <w:spacing w:val="-20"/>
                                <w:sz w:val="28"/>
                                <w:szCs w:val="28"/>
                              </w:rPr>
                            </w:pPr>
                            <w:proofErr w:type="spellStart"/>
                            <w:r w:rsidRPr="00FD4EFA">
                              <w:rPr>
                                <w:rFonts w:ascii="標楷體" w:eastAsia="標楷體" w:hAnsi="標楷體"/>
                                <w:spacing w:val="-20"/>
                                <w:sz w:val="28"/>
                                <w:szCs w:val="28"/>
                              </w:rPr>
                              <w:t>金流節點</w:t>
                            </w:r>
                            <w:proofErr w:type="spellEnd"/>
                          </w:p>
                        </w:tc>
                        <w:tc>
                          <w:tcPr>
                            <w:tcW w:w="2654" w:type="dxa"/>
                            <w:vAlign w:val="center"/>
                          </w:tcPr>
                          <w:p w14:paraId="149FFA5B" w14:textId="77777777" w:rsidR="00FD4EFA" w:rsidRPr="00FD4EFA" w:rsidRDefault="00FD4EFA" w:rsidP="002C43C0">
                            <w:pPr>
                              <w:overflowPunct w:val="0"/>
                              <w:spacing w:line="360" w:lineRule="exact"/>
                              <w:jc w:val="center"/>
                              <w:rPr>
                                <w:rFonts w:ascii="標楷體" w:eastAsia="標楷體" w:hAnsi="標楷體"/>
                                <w:spacing w:val="-20"/>
                                <w:sz w:val="28"/>
                                <w:szCs w:val="28"/>
                              </w:rPr>
                            </w:pPr>
                            <w:proofErr w:type="spellStart"/>
                            <w:r w:rsidRPr="00FD4EFA">
                              <w:rPr>
                                <w:rFonts w:ascii="標楷體" w:eastAsia="標楷體" w:hAnsi="標楷體"/>
                                <w:spacing w:val="-20"/>
                                <w:sz w:val="28"/>
                                <w:szCs w:val="28"/>
                              </w:rPr>
                              <w:t>風險意涵</w:t>
                            </w:r>
                            <w:proofErr w:type="spellEnd"/>
                          </w:p>
                        </w:tc>
                        <w:tc>
                          <w:tcPr>
                            <w:tcW w:w="3233" w:type="dxa"/>
                            <w:vAlign w:val="center"/>
                          </w:tcPr>
                          <w:p w14:paraId="585444B5" w14:textId="77777777" w:rsidR="00FD4EFA" w:rsidRPr="00FD4EFA" w:rsidRDefault="00FD4EFA" w:rsidP="002C43C0">
                            <w:pPr>
                              <w:overflowPunct w:val="0"/>
                              <w:spacing w:line="360" w:lineRule="exact"/>
                              <w:jc w:val="center"/>
                              <w:rPr>
                                <w:rFonts w:ascii="標楷體" w:eastAsia="標楷體" w:hAnsi="標楷體"/>
                                <w:spacing w:val="-20"/>
                                <w:sz w:val="28"/>
                                <w:szCs w:val="28"/>
                              </w:rPr>
                            </w:pPr>
                            <w:proofErr w:type="spellStart"/>
                            <w:r w:rsidRPr="00FD4EFA">
                              <w:rPr>
                                <w:rFonts w:ascii="標楷體" w:eastAsia="標楷體" w:hAnsi="標楷體"/>
                                <w:spacing w:val="-20"/>
                                <w:sz w:val="28"/>
                                <w:szCs w:val="28"/>
                              </w:rPr>
                              <w:t>控制點設計重點</w:t>
                            </w:r>
                            <w:proofErr w:type="spellEnd"/>
                          </w:p>
                        </w:tc>
                      </w:tr>
                      <w:tr w:rsidR="00FD4EFA" w:rsidRPr="00162D5B" w14:paraId="2EA46793" w14:textId="77777777" w:rsidTr="007527D1">
                        <w:trPr>
                          <w:trHeight w:val="20"/>
                        </w:trPr>
                        <w:tc>
                          <w:tcPr>
                            <w:tcW w:w="1131" w:type="dxa"/>
                            <w:vAlign w:val="center"/>
                          </w:tcPr>
                          <w:p w14:paraId="34780C55" w14:textId="77777777" w:rsidR="00FD4EFA" w:rsidRPr="00162D5B" w:rsidRDefault="00FD4EFA" w:rsidP="002C43C0">
                            <w:pPr>
                              <w:overflowPunct w:val="0"/>
                              <w:spacing w:line="360" w:lineRule="exact"/>
                              <w:jc w:val="center"/>
                              <w:rPr>
                                <w:rFonts w:ascii="標楷體" w:eastAsia="標楷體" w:hAnsi="標楷體"/>
                                <w:sz w:val="28"/>
                                <w:szCs w:val="28"/>
                              </w:rPr>
                            </w:pPr>
                            <w:r>
                              <w:rPr>
                                <w:rFonts w:ascii="標楷體" w:eastAsia="標楷體" w:hAnsi="標楷體" w:hint="eastAsia"/>
                                <w:sz w:val="28"/>
                                <w:szCs w:val="28"/>
                                <w:lang w:eastAsia="zh-TW"/>
                              </w:rPr>
                              <w:t>1</w:t>
                            </w:r>
                          </w:p>
                        </w:tc>
                        <w:tc>
                          <w:tcPr>
                            <w:tcW w:w="1894" w:type="dxa"/>
                            <w:vAlign w:val="center"/>
                          </w:tcPr>
                          <w:p w14:paraId="7C7DDA83" w14:textId="77777777" w:rsidR="00FD4EFA" w:rsidRPr="00162D5B" w:rsidRDefault="00FD4EFA" w:rsidP="002C43C0">
                            <w:pPr>
                              <w:overflowPunct w:val="0"/>
                              <w:spacing w:line="360" w:lineRule="exact"/>
                              <w:jc w:val="center"/>
                              <w:rPr>
                                <w:rFonts w:ascii="標楷體" w:eastAsia="標楷體" w:hAnsi="標楷體"/>
                                <w:sz w:val="28"/>
                                <w:szCs w:val="28"/>
                              </w:rPr>
                            </w:pPr>
                            <w:proofErr w:type="spellStart"/>
                            <w:r w:rsidRPr="00162D5B">
                              <w:rPr>
                                <w:rFonts w:ascii="標楷體" w:eastAsia="標楷體" w:hAnsi="標楷體"/>
                                <w:sz w:val="28"/>
                                <w:szCs w:val="28"/>
                              </w:rPr>
                              <w:t>結匯付款</w:t>
                            </w:r>
                            <w:proofErr w:type="spellEnd"/>
                          </w:p>
                        </w:tc>
                        <w:tc>
                          <w:tcPr>
                            <w:tcW w:w="2654" w:type="dxa"/>
                            <w:vAlign w:val="center"/>
                          </w:tcPr>
                          <w:p w14:paraId="0334D84B"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付款超前美方實需、資金大量滯存FRB</w:t>
                            </w:r>
                            <w:r>
                              <w:rPr>
                                <w:rFonts w:ascii="標楷體" w:eastAsia="標楷體" w:hAnsi="標楷體" w:hint="eastAsia"/>
                                <w:sz w:val="28"/>
                                <w:szCs w:val="28"/>
                                <w:lang w:eastAsia="zh-TW"/>
                              </w:rPr>
                              <w:t>。</w:t>
                            </w:r>
                          </w:p>
                        </w:tc>
                        <w:tc>
                          <w:tcPr>
                            <w:tcW w:w="3233" w:type="dxa"/>
                            <w:vAlign w:val="center"/>
                          </w:tcPr>
                          <w:p w14:paraId="1D5A5CBC"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結匯率逾100%（溢付帳務異常）、FRB餘額佔結匯值比率偏高</w:t>
                            </w:r>
                            <w:r>
                              <w:rPr>
                                <w:rFonts w:ascii="標楷體" w:eastAsia="標楷體" w:hAnsi="標楷體" w:hint="eastAsia"/>
                                <w:sz w:val="28"/>
                                <w:szCs w:val="28"/>
                                <w:lang w:eastAsia="zh-TW"/>
                              </w:rPr>
                              <w:t>。</w:t>
                            </w:r>
                          </w:p>
                        </w:tc>
                      </w:tr>
                      <w:tr w:rsidR="00FD4EFA" w:rsidRPr="00162D5B" w14:paraId="470E09A4" w14:textId="77777777" w:rsidTr="007527D1">
                        <w:trPr>
                          <w:trHeight w:val="20"/>
                        </w:trPr>
                        <w:tc>
                          <w:tcPr>
                            <w:tcW w:w="1131" w:type="dxa"/>
                            <w:vAlign w:val="center"/>
                          </w:tcPr>
                          <w:p w14:paraId="7426439F" w14:textId="77777777" w:rsidR="00FD4EFA" w:rsidRPr="00162D5B" w:rsidRDefault="00FD4EFA" w:rsidP="002C43C0">
                            <w:pPr>
                              <w:overflowPunct w:val="0"/>
                              <w:spacing w:line="360" w:lineRule="exact"/>
                              <w:jc w:val="center"/>
                              <w:rPr>
                                <w:rFonts w:ascii="標楷體" w:eastAsia="標楷體" w:hAnsi="標楷體"/>
                                <w:sz w:val="28"/>
                                <w:szCs w:val="28"/>
                              </w:rPr>
                            </w:pPr>
                            <w:r>
                              <w:rPr>
                                <w:rFonts w:ascii="標楷體" w:eastAsia="標楷體" w:hAnsi="標楷體" w:hint="eastAsia"/>
                                <w:sz w:val="28"/>
                                <w:szCs w:val="28"/>
                                <w:lang w:eastAsia="zh-TW"/>
                              </w:rPr>
                              <w:t>2</w:t>
                            </w:r>
                          </w:p>
                        </w:tc>
                        <w:tc>
                          <w:tcPr>
                            <w:tcW w:w="1894" w:type="dxa"/>
                            <w:vAlign w:val="center"/>
                          </w:tcPr>
                          <w:p w14:paraId="7AFD2711" w14:textId="77777777" w:rsidR="00FD4EFA" w:rsidRPr="00162D5B" w:rsidRDefault="00FD4EFA" w:rsidP="002C43C0">
                            <w:pPr>
                              <w:overflowPunct w:val="0"/>
                              <w:spacing w:line="360" w:lineRule="exact"/>
                              <w:jc w:val="center"/>
                              <w:rPr>
                                <w:rFonts w:ascii="標楷體" w:eastAsia="標楷體" w:hAnsi="標楷體"/>
                                <w:sz w:val="28"/>
                                <w:szCs w:val="28"/>
                              </w:rPr>
                            </w:pPr>
                            <w:proofErr w:type="spellStart"/>
                            <w:r w:rsidRPr="00162D5B">
                              <w:rPr>
                                <w:rFonts w:ascii="標楷體" w:eastAsia="標楷體" w:hAnsi="標楷體"/>
                                <w:sz w:val="28"/>
                                <w:szCs w:val="28"/>
                              </w:rPr>
                              <w:t>美方提領</w:t>
                            </w:r>
                            <w:proofErr w:type="spellEnd"/>
                          </w:p>
                        </w:tc>
                        <w:tc>
                          <w:tcPr>
                            <w:tcW w:w="2654" w:type="dxa"/>
                            <w:vAlign w:val="center"/>
                          </w:tcPr>
                          <w:p w14:paraId="5CD09E33"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已自FRB提領動支卻無交運，履約異常</w:t>
                            </w:r>
                            <w:r>
                              <w:rPr>
                                <w:rFonts w:ascii="標楷體" w:eastAsia="標楷體" w:hAnsi="標楷體" w:hint="eastAsia"/>
                                <w:sz w:val="28"/>
                                <w:szCs w:val="28"/>
                                <w:lang w:eastAsia="zh-TW"/>
                              </w:rPr>
                              <w:t>。</w:t>
                            </w:r>
                          </w:p>
                        </w:tc>
                        <w:tc>
                          <w:tcPr>
                            <w:tcW w:w="3233" w:type="dxa"/>
                            <w:vAlign w:val="center"/>
                          </w:tcPr>
                          <w:p w14:paraId="4A520170"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交運值不及已提領金額之一成，且差額重大</w:t>
                            </w:r>
                            <w:r>
                              <w:rPr>
                                <w:rFonts w:ascii="標楷體" w:eastAsia="標楷體" w:hAnsi="標楷體" w:hint="eastAsia"/>
                                <w:sz w:val="28"/>
                                <w:szCs w:val="28"/>
                                <w:lang w:eastAsia="zh-TW"/>
                              </w:rPr>
                              <w:t>。</w:t>
                            </w:r>
                          </w:p>
                        </w:tc>
                      </w:tr>
                      <w:tr w:rsidR="00FD4EFA" w:rsidRPr="00162D5B" w14:paraId="115FBD92" w14:textId="77777777" w:rsidTr="007527D1">
                        <w:trPr>
                          <w:trHeight w:val="20"/>
                        </w:trPr>
                        <w:tc>
                          <w:tcPr>
                            <w:tcW w:w="1131" w:type="dxa"/>
                            <w:vAlign w:val="center"/>
                          </w:tcPr>
                          <w:p w14:paraId="0094BE43" w14:textId="77777777" w:rsidR="00FD4EFA" w:rsidRPr="00162D5B" w:rsidRDefault="00FD4EFA" w:rsidP="002C43C0">
                            <w:pPr>
                              <w:overflowPunct w:val="0"/>
                              <w:spacing w:line="360" w:lineRule="exact"/>
                              <w:jc w:val="center"/>
                              <w:rPr>
                                <w:rFonts w:ascii="標楷體" w:eastAsia="標楷體" w:hAnsi="標楷體"/>
                                <w:sz w:val="28"/>
                                <w:szCs w:val="28"/>
                              </w:rPr>
                            </w:pPr>
                            <w:r>
                              <w:rPr>
                                <w:rFonts w:ascii="標楷體" w:eastAsia="標楷體" w:hAnsi="標楷體" w:hint="eastAsia"/>
                                <w:sz w:val="28"/>
                                <w:szCs w:val="28"/>
                                <w:lang w:eastAsia="zh-TW"/>
                              </w:rPr>
                              <w:t>3</w:t>
                            </w:r>
                          </w:p>
                        </w:tc>
                        <w:tc>
                          <w:tcPr>
                            <w:tcW w:w="1894" w:type="dxa"/>
                            <w:vAlign w:val="center"/>
                          </w:tcPr>
                          <w:p w14:paraId="6553B01C" w14:textId="77777777" w:rsidR="00FD4EFA" w:rsidRPr="00162D5B" w:rsidRDefault="00FD4EFA" w:rsidP="002C43C0">
                            <w:pPr>
                              <w:overflowPunct w:val="0"/>
                              <w:spacing w:line="360" w:lineRule="exact"/>
                              <w:jc w:val="center"/>
                              <w:rPr>
                                <w:rFonts w:ascii="標楷體" w:eastAsia="標楷體" w:hAnsi="標楷體"/>
                                <w:sz w:val="28"/>
                                <w:szCs w:val="28"/>
                              </w:rPr>
                            </w:pPr>
                            <w:proofErr w:type="spellStart"/>
                            <w:r w:rsidRPr="00162D5B">
                              <w:rPr>
                                <w:rFonts w:ascii="標楷體" w:eastAsia="標楷體" w:hAnsi="標楷體"/>
                                <w:sz w:val="28"/>
                                <w:szCs w:val="28"/>
                              </w:rPr>
                              <w:t>交運驗收</w:t>
                            </w:r>
                            <w:proofErr w:type="spellEnd"/>
                          </w:p>
                        </w:tc>
                        <w:tc>
                          <w:tcPr>
                            <w:tcW w:w="2654" w:type="dxa"/>
                            <w:vAlign w:val="center"/>
                          </w:tcPr>
                          <w:p w14:paraId="5697FC9C"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交運進度落後付款進度、在途物資偏高</w:t>
                            </w:r>
                            <w:r>
                              <w:rPr>
                                <w:rFonts w:ascii="標楷體" w:eastAsia="標楷體" w:hAnsi="標楷體" w:hint="eastAsia"/>
                                <w:sz w:val="28"/>
                                <w:szCs w:val="28"/>
                                <w:lang w:eastAsia="zh-TW"/>
                              </w:rPr>
                              <w:t>。</w:t>
                            </w:r>
                          </w:p>
                        </w:tc>
                        <w:tc>
                          <w:tcPr>
                            <w:tcW w:w="3233" w:type="dxa"/>
                            <w:vAlign w:val="center"/>
                          </w:tcPr>
                          <w:p w14:paraId="1FC2DB32"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交運率未達門檻、付款與交運差異達門檻且備查帳餘額重大</w:t>
                            </w:r>
                            <w:r>
                              <w:rPr>
                                <w:rFonts w:ascii="標楷體" w:eastAsia="標楷體" w:hAnsi="標楷體" w:hint="eastAsia"/>
                                <w:sz w:val="28"/>
                                <w:szCs w:val="28"/>
                                <w:lang w:eastAsia="zh-TW"/>
                              </w:rPr>
                              <w:t>。</w:t>
                            </w:r>
                          </w:p>
                        </w:tc>
                      </w:tr>
                      <w:tr w:rsidR="00FD4EFA" w:rsidRPr="00162D5B" w14:paraId="3F93E59D" w14:textId="77777777" w:rsidTr="007527D1">
                        <w:trPr>
                          <w:trHeight w:val="20"/>
                        </w:trPr>
                        <w:tc>
                          <w:tcPr>
                            <w:tcW w:w="1131" w:type="dxa"/>
                            <w:vAlign w:val="center"/>
                          </w:tcPr>
                          <w:p w14:paraId="20F84A8E" w14:textId="77777777" w:rsidR="00FD4EFA" w:rsidRPr="00162D5B" w:rsidRDefault="00FD4EFA" w:rsidP="002C43C0">
                            <w:pPr>
                              <w:overflowPunct w:val="0"/>
                              <w:spacing w:line="360" w:lineRule="exact"/>
                              <w:jc w:val="center"/>
                              <w:rPr>
                                <w:rFonts w:ascii="標楷體" w:eastAsia="標楷體" w:hAnsi="標楷體"/>
                                <w:sz w:val="28"/>
                                <w:szCs w:val="28"/>
                              </w:rPr>
                            </w:pPr>
                            <w:r>
                              <w:rPr>
                                <w:rFonts w:ascii="標楷體" w:eastAsia="標楷體" w:hAnsi="標楷體" w:hint="eastAsia"/>
                                <w:sz w:val="28"/>
                                <w:szCs w:val="28"/>
                                <w:lang w:eastAsia="zh-TW"/>
                              </w:rPr>
                              <w:t>4</w:t>
                            </w:r>
                          </w:p>
                        </w:tc>
                        <w:tc>
                          <w:tcPr>
                            <w:tcW w:w="1894" w:type="dxa"/>
                            <w:vAlign w:val="center"/>
                          </w:tcPr>
                          <w:p w14:paraId="7050EC1F" w14:textId="77777777" w:rsidR="00FD4EFA" w:rsidRPr="00162D5B" w:rsidRDefault="00FD4EFA" w:rsidP="002C43C0">
                            <w:pPr>
                              <w:overflowPunct w:val="0"/>
                              <w:spacing w:line="360" w:lineRule="exact"/>
                              <w:jc w:val="center"/>
                              <w:rPr>
                                <w:rFonts w:ascii="標楷體" w:eastAsia="標楷體" w:hAnsi="標楷體"/>
                                <w:sz w:val="28"/>
                                <w:szCs w:val="28"/>
                              </w:rPr>
                            </w:pPr>
                            <w:proofErr w:type="spellStart"/>
                            <w:r w:rsidRPr="00162D5B">
                              <w:rPr>
                                <w:rFonts w:ascii="標楷體" w:eastAsia="標楷體" w:hAnsi="標楷體"/>
                                <w:sz w:val="28"/>
                                <w:szCs w:val="28"/>
                              </w:rPr>
                              <w:t>例外態樣</w:t>
                            </w:r>
                            <w:proofErr w:type="spellEnd"/>
                          </w:p>
                        </w:tc>
                        <w:tc>
                          <w:tcPr>
                            <w:tcW w:w="2654" w:type="dxa"/>
                            <w:vAlign w:val="center"/>
                          </w:tcPr>
                          <w:p w14:paraId="6B7F467D"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帳務異常或我方積欠案款</w:t>
                            </w:r>
                            <w:r>
                              <w:rPr>
                                <w:rFonts w:ascii="標楷體" w:eastAsia="標楷體" w:hAnsi="標楷體" w:hint="eastAsia"/>
                                <w:sz w:val="28"/>
                                <w:szCs w:val="28"/>
                                <w:lang w:eastAsia="zh-TW"/>
                              </w:rPr>
                              <w:t>。</w:t>
                            </w:r>
                          </w:p>
                        </w:tc>
                        <w:tc>
                          <w:tcPr>
                            <w:tcW w:w="3233" w:type="dxa"/>
                            <w:vAlign w:val="center"/>
                          </w:tcPr>
                          <w:p w14:paraId="0CC0128A" w14:textId="77777777" w:rsidR="00FD4EFA" w:rsidRPr="00162D5B" w:rsidRDefault="00FD4EFA" w:rsidP="002C43C0">
                            <w:pPr>
                              <w:overflowPunct w:val="0"/>
                              <w:spacing w:line="360" w:lineRule="exact"/>
                              <w:jc w:val="both"/>
                              <w:rPr>
                                <w:rFonts w:ascii="標楷體" w:eastAsia="標楷體" w:hAnsi="標楷體"/>
                                <w:sz w:val="28"/>
                                <w:szCs w:val="28"/>
                                <w:lang w:eastAsia="zh-TW"/>
                              </w:rPr>
                            </w:pPr>
                            <w:r w:rsidRPr="00162D5B">
                              <w:rPr>
                                <w:rFonts w:ascii="標楷體" w:eastAsia="標楷體" w:hAnsi="標楷體"/>
                                <w:sz w:val="28"/>
                                <w:szCs w:val="28"/>
                                <w:lang w:eastAsia="zh-TW"/>
                              </w:rPr>
                              <w:t>結匯率逾100%、待平衡支付值大於0（欠款案件）</w:t>
                            </w:r>
                            <w:r>
                              <w:rPr>
                                <w:rFonts w:ascii="標楷體" w:eastAsia="標楷體" w:hAnsi="標楷體" w:hint="eastAsia"/>
                                <w:sz w:val="28"/>
                                <w:szCs w:val="28"/>
                                <w:lang w:eastAsia="zh-TW"/>
                              </w:rPr>
                              <w:t>。</w:t>
                            </w:r>
                          </w:p>
                        </w:tc>
                      </w:tr>
                    </w:tbl>
                    <w:p w14:paraId="27DC9BB1" w14:textId="77777777" w:rsidR="00FD4EFA" w:rsidRPr="007527D1" w:rsidRDefault="00FD4EFA" w:rsidP="00FD4EFA">
                      <w:pPr>
                        <w:spacing w:line="280" w:lineRule="exact"/>
                        <w:rPr>
                          <w:rFonts w:ascii="標楷體" w:eastAsia="標楷體" w:hAnsi="標楷體"/>
                          <w:sz w:val="20"/>
                          <w:szCs w:val="18"/>
                        </w:rPr>
                      </w:pPr>
                      <w:r w:rsidRPr="007527D1">
                        <w:rPr>
                          <w:rFonts w:ascii="標楷體" w:eastAsia="標楷體" w:hAnsi="標楷體" w:hint="eastAsia"/>
                          <w:sz w:val="20"/>
                          <w:szCs w:val="18"/>
                        </w:rPr>
                        <w:t>資料來源：本次系統開發過程自行整理。</w:t>
                      </w:r>
                    </w:p>
                  </w:txbxContent>
                </v:textbox>
                <w10:wrap type="square" anchorx="margin"/>
              </v:shape>
            </w:pict>
          </mc:Fallback>
        </mc:AlternateContent>
      </w:r>
      <w:r w:rsidR="00A530B6" w:rsidRPr="00A530B6">
        <w:rPr>
          <w:rFonts w:ascii="標楷體" w:eastAsia="標楷體" w:hAnsi="標楷體" w:hint="eastAsia"/>
          <w:sz w:val="32"/>
          <w:szCs w:val="32"/>
        </w:rPr>
        <w:t>本系統之控制點擷取歷年查核軍購案件執行情形之成果，沿購案款項金流逐一對應各風險節點而設計，俾能貼近軍購帳務之實質風險。有關控制點設計邏輯，除案軍事投資建案與作業維持案特性，分別規劃篩選條件</w:t>
      </w:r>
      <w:r w:rsidR="005D4FBA">
        <w:rPr>
          <w:rFonts w:ascii="標楷體" w:eastAsia="標楷體" w:hAnsi="標楷體" w:hint="eastAsia"/>
          <w:sz w:val="32"/>
          <w:szCs w:val="32"/>
        </w:rPr>
        <w:t>（軍事投資案與作業維持案，各設計10個控制點）</w:t>
      </w:r>
      <w:r w:rsidR="00A530B6" w:rsidRPr="00A530B6">
        <w:rPr>
          <w:rFonts w:ascii="標楷體" w:eastAsia="標楷體" w:hAnsi="標楷體" w:hint="eastAsia"/>
          <w:sz w:val="32"/>
          <w:szCs w:val="32"/>
        </w:rPr>
        <w:t>，部分控制點亦採比率與金額雙門檻之設計策略，由比率負責辨識異常型態、由絕對金額門檻負責捕捉滯美資金重大之案件，相互補漏，確保篩選面向之完備。</w:t>
      </w:r>
    </w:p>
    <w:p w14:paraId="08FE6F27" w14:textId="38A788F1" w:rsidR="005D4FBA" w:rsidRDefault="0061060E" w:rsidP="0061060E">
      <w:pPr>
        <w:pStyle w:val="a3"/>
        <w:numPr>
          <w:ilvl w:val="2"/>
          <w:numId w:val="1"/>
        </w:numPr>
        <w:spacing w:line="560" w:lineRule="exact"/>
        <w:ind w:leftChars="0" w:left="1134" w:hanging="283"/>
        <w:jc w:val="both"/>
        <w:rPr>
          <w:rFonts w:ascii="標楷體" w:eastAsia="標楷體" w:hAnsi="標楷體"/>
          <w:sz w:val="32"/>
          <w:szCs w:val="32"/>
        </w:rPr>
      </w:pPr>
      <w:r w:rsidRPr="0061060E">
        <w:rPr>
          <w:rFonts w:ascii="標楷體" w:eastAsia="標楷體" w:hAnsi="標楷體" w:hint="eastAsia"/>
          <w:sz w:val="32"/>
          <w:szCs w:val="32"/>
        </w:rPr>
        <w:t>導入軍購管制會議紀錄交互勾稽，擴大分析結果之應用價值</w:t>
      </w:r>
    </w:p>
    <w:p w14:paraId="76A93FAD" w14:textId="74116F47" w:rsidR="0061060E" w:rsidRDefault="0061060E" w:rsidP="00A530B6">
      <w:pPr>
        <w:pStyle w:val="a3"/>
        <w:spacing w:line="560" w:lineRule="exact"/>
        <w:ind w:leftChars="0" w:left="1134" w:firstLineChars="200" w:firstLine="640"/>
        <w:jc w:val="both"/>
        <w:rPr>
          <w:rFonts w:ascii="標楷體" w:eastAsia="標楷體" w:hAnsi="標楷體"/>
          <w:sz w:val="32"/>
          <w:szCs w:val="32"/>
        </w:rPr>
      </w:pPr>
      <w:r w:rsidRPr="0061060E">
        <w:rPr>
          <w:rFonts w:ascii="標楷體" w:eastAsia="標楷體" w:hAnsi="標楷體" w:hint="eastAsia"/>
          <w:sz w:val="32"/>
          <w:szCs w:val="32"/>
        </w:rPr>
        <w:t>本次系統建置過程，將不具機敏性之各軍種軍購管制會議紀錄，利用大型語言模型整理成結構化、可批量比對之格式，再匯入實體隔離區，以本系統之會議紀錄核對功能，將控制點篩選出之風險案件，與各軍種軍購管制會議紀錄之整理檔以案號自動勾稽比對，標示業經會議檢討之案件及其檢討態樣、辦理情形。藉此分析</w:t>
      </w:r>
      <w:r w:rsidRPr="0061060E">
        <w:rPr>
          <w:rFonts w:ascii="標楷體" w:eastAsia="標楷體" w:hAnsi="標楷體" w:hint="eastAsia"/>
          <w:sz w:val="32"/>
          <w:szCs w:val="32"/>
        </w:rPr>
        <w:lastRenderedPageBreak/>
        <w:t>模式，可於實體隔離電腦內將機敏之分析結果與相對公開之會議資料交互印證，除確認風險案件之研處情形，亦能聚焦於尚未檢討或研處未臻妥適之案件，使查核資源之配置更為妥適，並擴大控制點分析結果之應用價值。此外，亦將上述利用大型語言模型整理會議紀錄之過程匯出為提示詞（prompt），以便未來使用並確保每次會議紀錄整理結果之一致性。</w:t>
      </w:r>
    </w:p>
    <w:p w14:paraId="20FD991F" w14:textId="0C33B702" w:rsidR="0061060E" w:rsidRDefault="0061060E" w:rsidP="0061060E">
      <w:pPr>
        <w:pStyle w:val="a3"/>
        <w:numPr>
          <w:ilvl w:val="2"/>
          <w:numId w:val="1"/>
        </w:numPr>
        <w:spacing w:line="560" w:lineRule="exact"/>
        <w:ind w:leftChars="0" w:left="1134" w:hanging="283"/>
        <w:jc w:val="both"/>
        <w:rPr>
          <w:rFonts w:ascii="標楷體" w:eastAsia="標楷體" w:hAnsi="標楷體"/>
          <w:sz w:val="32"/>
          <w:szCs w:val="32"/>
        </w:rPr>
      </w:pPr>
      <w:r w:rsidRPr="0061060E">
        <w:rPr>
          <w:rFonts w:ascii="標楷體" w:eastAsia="標楷體" w:hAnsi="標楷體" w:hint="eastAsia"/>
          <w:sz w:val="32"/>
          <w:szCs w:val="32"/>
        </w:rPr>
        <w:t>建置風險評分與風險分布氣泡圖，量化風險程度並提升選案效率</w:t>
      </w:r>
    </w:p>
    <w:p w14:paraId="37007090" w14:textId="33FED0AA" w:rsidR="0061060E" w:rsidRDefault="0061060E" w:rsidP="0061060E">
      <w:pPr>
        <w:pStyle w:val="a3"/>
        <w:spacing w:line="560" w:lineRule="exact"/>
        <w:ind w:leftChars="0" w:left="1134" w:firstLineChars="200" w:firstLine="640"/>
        <w:jc w:val="both"/>
        <w:rPr>
          <w:rFonts w:ascii="標楷體" w:eastAsia="標楷體" w:hAnsi="標楷體"/>
          <w:sz w:val="32"/>
          <w:szCs w:val="32"/>
        </w:rPr>
      </w:pPr>
      <w:r w:rsidRPr="0061060E">
        <w:rPr>
          <w:rFonts w:ascii="標楷體" w:eastAsia="標楷體" w:hAnsi="標楷體" w:hint="eastAsia"/>
          <w:sz w:val="32"/>
          <w:szCs w:val="32"/>
        </w:rPr>
        <w:t>為使風險高低得以量化並視覺化呈現，本系統進一步就當期全部軍購案逐案評分。系統依各案命中控制點所對應之風險，按其嚴重程度計以分數，並將各項評分項目歸為「執行風險」與「財務風險」兩類分別加總：凡涉及交運進度落後、履約異常者，歸入執行風險；凡涉及資金滯存美方、帳務溢付、積欠案款者，歸入財務風險。二者加總即為各案之風險總分，俾以客觀分數表達各案風險之相對高低及其性質</w:t>
      </w:r>
      <w:r>
        <w:rPr>
          <w:rFonts w:ascii="標楷體" w:eastAsia="標楷體" w:hAnsi="標楷體" w:hint="eastAsia"/>
          <w:sz w:val="32"/>
          <w:szCs w:val="32"/>
        </w:rPr>
        <w:t>;</w:t>
      </w:r>
      <w:r w:rsidRPr="0061060E">
        <w:rPr>
          <w:rFonts w:ascii="標楷體" w:eastAsia="標楷體" w:hAnsi="標楷體" w:hint="eastAsia"/>
          <w:sz w:val="32"/>
          <w:szCs w:val="32"/>
        </w:rPr>
        <w:t>又評分係採固定之數值基準計算，確保跨期之可比性。</w:t>
      </w:r>
    </w:p>
    <w:p w14:paraId="1902CE6D" w14:textId="4944366A" w:rsidR="0061060E" w:rsidRDefault="0061060E" w:rsidP="0061060E">
      <w:pPr>
        <w:pStyle w:val="a3"/>
        <w:spacing w:line="560" w:lineRule="exact"/>
        <w:ind w:leftChars="0" w:left="1134" w:firstLineChars="200" w:firstLine="640"/>
        <w:jc w:val="both"/>
        <w:rPr>
          <w:rFonts w:ascii="標楷體" w:eastAsia="標楷體" w:hAnsi="標楷體"/>
          <w:sz w:val="32"/>
          <w:szCs w:val="32"/>
        </w:rPr>
      </w:pPr>
      <w:r w:rsidRPr="0061060E">
        <w:rPr>
          <w:rFonts w:ascii="標楷體" w:eastAsia="標楷體" w:hAnsi="標楷體" w:hint="eastAsia"/>
          <w:sz w:val="32"/>
          <w:szCs w:val="32"/>
        </w:rPr>
        <w:t>在此基礎上，系統另建置「</w:t>
      </w:r>
      <w:bookmarkStart w:id="0" w:name="_Hlk235475841"/>
      <w:r w:rsidRPr="0061060E">
        <w:rPr>
          <w:rFonts w:ascii="標楷體" w:eastAsia="標楷體" w:hAnsi="標楷體" w:hint="eastAsia"/>
          <w:sz w:val="32"/>
          <w:szCs w:val="32"/>
        </w:rPr>
        <w:t>風險分布氣泡圖</w:t>
      </w:r>
      <w:bookmarkEnd w:id="0"/>
      <w:r w:rsidRPr="0061060E">
        <w:rPr>
          <w:rFonts w:ascii="標楷體" w:eastAsia="標楷體" w:hAnsi="標楷體" w:hint="eastAsia"/>
          <w:sz w:val="32"/>
          <w:szCs w:val="32"/>
        </w:rPr>
        <w:t>」，以橫軸表達執行風險、縱軸表達財務風險，將各軍購案依其風險分數定位於圖上，並以氣泡大小表達該案發價值（案件規模），復依風險總分劃分風險分區，並標示風險名列前段之案件。軍事投資建案與作業維持案分別繪製，且兩圖均採相同之固定尺度，俾利跨圖、跨期對照。審計人員藉此得一目瞭然掌握全部案件之風險分布，迅速辨識落於高風險區、且金額龐大之案件，並可就特定區塊放大檢視、搭配定位示意圖掌握所在位置，將查核資源集中投注於最需關注之案件。</w:t>
      </w:r>
    </w:p>
    <w:p w14:paraId="704EE5E9" w14:textId="556B1191" w:rsidR="0061060E" w:rsidRDefault="0042541B" w:rsidP="00FD4EFA">
      <w:pPr>
        <w:pStyle w:val="a3"/>
        <w:numPr>
          <w:ilvl w:val="2"/>
          <w:numId w:val="1"/>
        </w:numPr>
        <w:spacing w:line="560" w:lineRule="exact"/>
        <w:ind w:leftChars="0" w:left="1134" w:hanging="283"/>
        <w:jc w:val="both"/>
        <w:rPr>
          <w:rFonts w:ascii="標楷體" w:eastAsia="標楷體" w:hAnsi="標楷體"/>
          <w:sz w:val="32"/>
          <w:szCs w:val="32"/>
        </w:rPr>
      </w:pPr>
      <w:r>
        <w:rPr>
          <w:rFonts w:ascii="標楷體" w:eastAsia="標楷體" w:hAnsi="標楷體" w:hint="eastAsia"/>
          <w:sz w:val="32"/>
          <w:szCs w:val="32"/>
        </w:rPr>
        <w:t>支援報表與分析圖輸出功能，減輕人員彙整負擔</w:t>
      </w:r>
    </w:p>
    <w:p w14:paraId="45B6E3A8" w14:textId="1EEC1382" w:rsidR="0042541B" w:rsidRDefault="0042541B" w:rsidP="0042541B">
      <w:pPr>
        <w:pStyle w:val="a3"/>
        <w:spacing w:line="560" w:lineRule="exact"/>
        <w:ind w:leftChars="0" w:left="1134" w:firstLineChars="200" w:firstLine="640"/>
        <w:jc w:val="both"/>
        <w:rPr>
          <w:rFonts w:ascii="標楷體" w:eastAsia="標楷體" w:hAnsi="標楷體"/>
          <w:sz w:val="32"/>
          <w:szCs w:val="32"/>
        </w:rPr>
      </w:pPr>
      <w:r>
        <w:rPr>
          <w:rFonts w:ascii="標楷體" w:eastAsia="標楷體" w:hAnsi="標楷體" w:hint="eastAsia"/>
          <w:sz w:val="32"/>
          <w:szCs w:val="32"/>
        </w:rPr>
        <w:lastRenderedPageBreak/>
        <w:t>上開控制點篩選筆數總覽、各項控制點篩出案件明細、</w:t>
      </w:r>
      <w:r w:rsidR="00FD4EFA">
        <w:rPr>
          <w:rFonts w:ascii="標楷體" w:eastAsia="標楷體" w:hAnsi="標楷體" w:hint="eastAsia"/>
          <w:sz w:val="32"/>
          <w:szCs w:val="32"/>
        </w:rPr>
        <w:t>核對管制會議資料、</w:t>
      </w:r>
      <w:r>
        <w:rPr>
          <w:rFonts w:ascii="標楷體" w:eastAsia="標楷體" w:hAnsi="標楷體" w:hint="eastAsia"/>
          <w:sz w:val="32"/>
          <w:szCs w:val="32"/>
        </w:rPr>
        <w:t>風險評分結果排名</w:t>
      </w:r>
      <w:r w:rsidR="003C436F">
        <w:rPr>
          <w:rFonts w:ascii="標楷體" w:eastAsia="標楷體" w:hAnsi="標楷體" w:hint="eastAsia"/>
          <w:sz w:val="32"/>
          <w:szCs w:val="32"/>
        </w:rPr>
        <w:t>、</w:t>
      </w:r>
      <w:r w:rsidR="003C436F" w:rsidRPr="0061060E">
        <w:rPr>
          <w:rFonts w:ascii="標楷體" w:eastAsia="標楷體" w:hAnsi="標楷體" w:hint="eastAsia"/>
          <w:sz w:val="32"/>
          <w:szCs w:val="32"/>
        </w:rPr>
        <w:t>風險分布氣泡圖</w:t>
      </w:r>
      <w:r w:rsidR="00FD4EFA">
        <w:rPr>
          <w:rFonts w:ascii="標楷體" w:eastAsia="標楷體" w:hAnsi="標楷體" w:hint="eastAsia"/>
          <w:sz w:val="32"/>
          <w:szCs w:val="32"/>
        </w:rPr>
        <w:t>等分析成果，皆能快速匯出為常用之檔案格式，或執行列印功能，俾利進行後續陳核作業或將分析結果與其他同仁共享，加深分析成果運用之綜效。</w:t>
      </w:r>
    </w:p>
    <w:p w14:paraId="0B736D4E" w14:textId="48022574" w:rsidR="00FD4EFA" w:rsidRDefault="00AF7E75" w:rsidP="007527D1">
      <w:pPr>
        <w:pStyle w:val="a3"/>
        <w:numPr>
          <w:ilvl w:val="1"/>
          <w:numId w:val="1"/>
        </w:numPr>
        <w:spacing w:line="560" w:lineRule="exact"/>
        <w:ind w:leftChars="0"/>
        <w:jc w:val="both"/>
        <w:rPr>
          <w:rFonts w:ascii="標楷體" w:eastAsia="標楷體" w:hAnsi="標楷體"/>
          <w:sz w:val="32"/>
          <w:szCs w:val="32"/>
        </w:rPr>
      </w:pPr>
      <w:r w:rsidRPr="00AF7E75">
        <w:rPr>
          <w:rFonts w:ascii="標楷體" w:eastAsia="標楷體" w:hAnsi="標楷體" w:hint="eastAsia"/>
          <w:sz w:val="32"/>
          <w:szCs w:val="32"/>
        </w:rPr>
        <w:t>未來精進作為</w:t>
      </w:r>
    </w:p>
    <w:p w14:paraId="1563BDEB" w14:textId="17411A65" w:rsidR="00AF7E75" w:rsidRDefault="00AF7E75" w:rsidP="00AF7E75">
      <w:pPr>
        <w:pStyle w:val="a3"/>
        <w:numPr>
          <w:ilvl w:val="2"/>
          <w:numId w:val="1"/>
        </w:numPr>
        <w:spacing w:line="560" w:lineRule="exact"/>
        <w:ind w:leftChars="0" w:left="1134" w:hanging="283"/>
        <w:jc w:val="both"/>
        <w:rPr>
          <w:rFonts w:ascii="標楷體" w:eastAsia="標楷體" w:hAnsi="標楷體"/>
          <w:sz w:val="32"/>
          <w:szCs w:val="32"/>
        </w:rPr>
      </w:pPr>
      <w:r>
        <w:rPr>
          <w:rFonts w:ascii="標楷體" w:eastAsia="標楷體" w:hAnsi="標楷體" w:hint="eastAsia"/>
          <w:sz w:val="32"/>
          <w:szCs w:val="32"/>
        </w:rPr>
        <w:t>持續發想可供勾稽之資料類型及來源</w:t>
      </w:r>
    </w:p>
    <w:p w14:paraId="379E4459" w14:textId="23BF0496" w:rsidR="00AF7E75" w:rsidRDefault="00AF7E75" w:rsidP="00AF7E75">
      <w:pPr>
        <w:pStyle w:val="a3"/>
        <w:spacing w:line="560" w:lineRule="exact"/>
        <w:ind w:leftChars="0" w:left="1134"/>
        <w:jc w:val="both"/>
        <w:rPr>
          <w:rFonts w:ascii="標楷體" w:eastAsia="標楷體" w:hAnsi="標楷體" w:hint="eastAsia"/>
          <w:sz w:val="32"/>
          <w:szCs w:val="32"/>
        </w:rPr>
      </w:pPr>
      <w:r>
        <w:rPr>
          <w:rFonts w:ascii="標楷體" w:eastAsia="標楷體" w:hAnsi="標楷體"/>
          <w:sz w:val="32"/>
          <w:szCs w:val="32"/>
        </w:rPr>
        <w:t>…</w:t>
      </w:r>
    </w:p>
    <w:p w14:paraId="0AE3D94B" w14:textId="721FBC91" w:rsidR="00AF7E75" w:rsidRDefault="00AF7E75" w:rsidP="00AF7E75">
      <w:pPr>
        <w:pStyle w:val="a3"/>
        <w:numPr>
          <w:ilvl w:val="2"/>
          <w:numId w:val="1"/>
        </w:numPr>
        <w:spacing w:line="560" w:lineRule="exact"/>
        <w:ind w:leftChars="0" w:left="1134" w:hanging="283"/>
        <w:jc w:val="both"/>
        <w:rPr>
          <w:rFonts w:ascii="標楷體" w:eastAsia="標楷體" w:hAnsi="標楷體"/>
          <w:sz w:val="32"/>
          <w:szCs w:val="32"/>
        </w:rPr>
      </w:pPr>
      <w:r>
        <w:rPr>
          <w:rFonts w:ascii="標楷體" w:eastAsia="標楷體" w:hAnsi="標楷體" w:hint="eastAsia"/>
          <w:sz w:val="32"/>
          <w:szCs w:val="32"/>
        </w:rPr>
        <w:t>以本系統分析結果為基礎，加強對美軍購審計作為</w:t>
      </w:r>
    </w:p>
    <w:p w14:paraId="4691EADB" w14:textId="7AED773F" w:rsidR="00AF7E75" w:rsidRDefault="00AF7E75" w:rsidP="00AF7E75">
      <w:pPr>
        <w:pStyle w:val="a3"/>
        <w:spacing w:line="560" w:lineRule="exact"/>
        <w:ind w:leftChars="0" w:left="1134"/>
        <w:jc w:val="both"/>
        <w:rPr>
          <w:rFonts w:ascii="標楷體" w:eastAsia="標楷體" w:hAnsi="標楷體"/>
          <w:sz w:val="32"/>
          <w:szCs w:val="32"/>
        </w:rPr>
      </w:pPr>
      <w:r>
        <w:rPr>
          <w:rFonts w:ascii="標楷體" w:eastAsia="標楷體" w:hAnsi="標楷體"/>
          <w:sz w:val="32"/>
          <w:szCs w:val="32"/>
        </w:rPr>
        <w:t>…</w:t>
      </w:r>
    </w:p>
    <w:p w14:paraId="03049C0F" w14:textId="1DAB350D" w:rsidR="00AF7E75" w:rsidRDefault="00AF7E75" w:rsidP="00AF7E75">
      <w:pPr>
        <w:pStyle w:val="a3"/>
        <w:numPr>
          <w:ilvl w:val="1"/>
          <w:numId w:val="1"/>
        </w:numPr>
        <w:spacing w:line="560" w:lineRule="exact"/>
        <w:ind w:leftChars="0"/>
        <w:jc w:val="both"/>
        <w:rPr>
          <w:rFonts w:ascii="標楷體" w:eastAsia="標楷體" w:hAnsi="標楷體"/>
          <w:sz w:val="32"/>
          <w:szCs w:val="32"/>
        </w:rPr>
      </w:pPr>
      <w:r>
        <w:rPr>
          <w:rFonts w:ascii="標楷體" w:eastAsia="標楷體" w:hAnsi="標楷體" w:hint="eastAsia"/>
          <w:sz w:val="32"/>
          <w:szCs w:val="32"/>
        </w:rPr>
        <w:t>結語</w:t>
      </w:r>
    </w:p>
    <w:p w14:paraId="4C1F06F8" w14:textId="7673E0E0" w:rsidR="00AF7E75" w:rsidRPr="00AF7E75" w:rsidRDefault="00AF7E75" w:rsidP="00AF7E75">
      <w:pPr>
        <w:pStyle w:val="a3"/>
        <w:spacing w:line="560" w:lineRule="exact"/>
        <w:ind w:leftChars="0" w:left="992" w:firstLineChars="200" w:firstLine="640"/>
        <w:jc w:val="both"/>
        <w:rPr>
          <w:rFonts w:ascii="標楷體" w:eastAsia="標楷體" w:hAnsi="標楷體" w:hint="eastAsia"/>
          <w:sz w:val="32"/>
          <w:szCs w:val="32"/>
        </w:rPr>
      </w:pPr>
      <w:r w:rsidRPr="00AF7E75">
        <w:rPr>
          <w:rFonts w:ascii="標楷體" w:eastAsia="標楷體" w:hAnsi="標楷體" w:hint="eastAsia"/>
          <w:sz w:val="32"/>
          <w:szCs w:val="32"/>
        </w:rPr>
        <w:t>本</w:t>
      </w:r>
      <w:r w:rsidR="004E50EC">
        <w:rPr>
          <w:rFonts w:ascii="標楷體" w:eastAsia="標楷體" w:hAnsi="標楷體" w:hint="eastAsia"/>
          <w:sz w:val="32"/>
          <w:szCs w:val="32"/>
        </w:rPr>
        <w:t>次</w:t>
      </w:r>
      <w:r w:rsidRPr="00AF7E75">
        <w:rPr>
          <w:rFonts w:ascii="標楷體" w:eastAsia="標楷體" w:hAnsi="標楷體" w:hint="eastAsia"/>
          <w:sz w:val="32"/>
          <w:szCs w:val="32"/>
        </w:rPr>
        <w:t>系統</w:t>
      </w:r>
      <w:r w:rsidR="004E50EC">
        <w:rPr>
          <w:rFonts w:ascii="標楷體" w:eastAsia="標楷體" w:hAnsi="標楷體" w:hint="eastAsia"/>
          <w:sz w:val="32"/>
          <w:szCs w:val="32"/>
        </w:rPr>
        <w:t>開發</w:t>
      </w:r>
      <w:r w:rsidRPr="00AF7E75">
        <w:rPr>
          <w:rFonts w:ascii="標楷體" w:eastAsia="標楷體" w:hAnsi="標楷體" w:hint="eastAsia"/>
          <w:sz w:val="32"/>
          <w:szCs w:val="32"/>
        </w:rPr>
        <w:t>以單一離線檔案之形式，將原須逐項操作篩選作業，簡化為匯入即得，並透過會議紀錄勾稽及風險之量化、視覺化，使審計人員得由逐案檢視進而精準選案，將有限之查核資源集中於高風險案件；系統全程於實體隔離環境運行、資料不外傳，在嚴守機敏安全之前提下實現資訊分析之效能，兼顧效率與保密，且核心之分析架構清楚透明、便於檢視與調整，日後如控制點或評分邏輯有所變動，均得隨之更新，為機敏審計環境下運用資訊工具之一項具體嘗試亦可供本部其他機敏資料分析場合參考援用。將持續精進本系統各項功能、擴大資料勾稽之範圍，深化軍購案查核之深度與廣度，善盡審計監督職責，促進國防資源運用之效益及軍購之良善治理，積極回應立法院、監察院及社會大眾對審計機關之期待，創造最大之審計價值。</w:t>
      </w:r>
    </w:p>
    <w:sectPr w:rsidR="00AF7E75" w:rsidRPr="00AF7E75" w:rsidSect="00AC654E">
      <w:pgSz w:w="11906" w:h="16838"/>
      <w:pgMar w:top="1418" w:right="851" w:bottom="1418"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8A3637"/>
    <w:multiLevelType w:val="multilevel"/>
    <w:tmpl w:val="6B5057E8"/>
    <w:lvl w:ilvl="0">
      <w:start w:val="1"/>
      <w:numFmt w:val="taiwaneseCountingThousand"/>
      <w:suff w:val="nothing"/>
      <w:lvlText w:val="%1、"/>
      <w:lvlJc w:val="left"/>
      <w:pPr>
        <w:ind w:left="425" w:hanging="425"/>
      </w:pPr>
      <w:rPr>
        <w:rFonts w:hint="eastAsia"/>
      </w:rPr>
    </w:lvl>
    <w:lvl w:ilvl="1">
      <w:start w:val="1"/>
      <w:numFmt w:val="taiwaneseCountingThousand"/>
      <w:suff w:val="nothing"/>
      <w:lvlText w:val="（%2）"/>
      <w:lvlJc w:val="left"/>
      <w:pPr>
        <w:ind w:left="992" w:hanging="567"/>
      </w:pPr>
      <w:rPr>
        <w:rFonts w:hint="eastAsia"/>
      </w:rPr>
    </w:lvl>
    <w:lvl w:ilvl="2">
      <w:start w:val="1"/>
      <w:numFmt w:val="decimal"/>
      <w:suff w:val="nothing"/>
      <w:lvlText w:val="%3."/>
      <w:lvlJc w:val="left"/>
      <w:pPr>
        <w:ind w:left="1418" w:hanging="567"/>
      </w:pPr>
      <w:rPr>
        <w:rFonts w:hint="eastAsia"/>
      </w:rPr>
    </w:lvl>
    <w:lvl w:ilvl="3">
      <w:start w:val="1"/>
      <w:numFmt w:val="decimal"/>
      <w:suff w:val="nothing"/>
      <w:lvlText w:val="(%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4E"/>
    <w:rsid w:val="003C436F"/>
    <w:rsid w:val="0042541B"/>
    <w:rsid w:val="004E50EC"/>
    <w:rsid w:val="005A1B58"/>
    <w:rsid w:val="005D4FBA"/>
    <w:rsid w:val="0061060E"/>
    <w:rsid w:val="006247A9"/>
    <w:rsid w:val="0071552E"/>
    <w:rsid w:val="007527D1"/>
    <w:rsid w:val="009063BC"/>
    <w:rsid w:val="00944712"/>
    <w:rsid w:val="00A530B6"/>
    <w:rsid w:val="00AC654E"/>
    <w:rsid w:val="00AF7E75"/>
    <w:rsid w:val="00FD4E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C3667"/>
  <w15:chartTrackingRefBased/>
  <w15:docId w15:val="{5E759F84-A618-48E1-B9B6-E43BC71D7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654E"/>
    <w:pPr>
      <w:ind w:leftChars="200" w:left="480"/>
    </w:pPr>
  </w:style>
  <w:style w:type="table" w:styleId="a4">
    <w:name w:val="Table Grid"/>
    <w:basedOn w:val="a1"/>
    <w:uiPriority w:val="59"/>
    <w:rsid w:val="00FD4EFA"/>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朱冠宇</dc:creator>
  <cp:keywords/>
  <dc:description/>
  <cp:lastModifiedBy>朱冠宇</cp:lastModifiedBy>
  <cp:revision>5</cp:revision>
  <dcterms:created xsi:type="dcterms:W3CDTF">2026-07-20T12:37:00Z</dcterms:created>
  <dcterms:modified xsi:type="dcterms:W3CDTF">2026-07-20T13:52:00Z</dcterms:modified>
</cp:coreProperties>
</file>