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b/>
          <w:bCs/>
          <w:color w:val="1F4E79"/>
          <w:sz w:val="34"/>
          <w:szCs w:val="34"/>
        </w:rPr>
        <w:t xml:space="preserve">國軍對美軍購案控制點分析項目說明</w:t>
      </w:r>
    </w:p>
    <w:p>
      <w:pPr>
        <w:spacing w:after="240"/>
        <w:jc w:val="center"/>
      </w:pPr>
      <w:r>
        <w:rPr>
          <w:color w:val="595959"/>
          <w:sz w:val="24"/>
          <w:szCs w:val="24"/>
        </w:rPr>
        <w:t xml:space="preserve">篩選意涵與整體設計邏輯（推測）</w:t>
      </w:r>
    </w:p>
    <w:p>
      <w:pPr>
        <w:pStyle w:val="Heading1"/>
      </w:pPr>
      <w:r>
        <w:t xml:space="preserve">壹、前言與背景</w:t>
      </w:r>
    </w:p>
    <w:p>
      <w:pPr>
        <w:spacing w:after="120" w:line="300"/>
      </w:pPr>
      <w:r>
        <w:t xml:space="preserve">本表就「控制點清單」所列 </w:t>
      </w:r>
      <w:r>
        <w:rPr>
          <w:b/>
          <w:bCs/>
        </w:rPr>
        <w:t xml:space="preserve">軍事投資建案（軍投）10 項、作業維持案（作維）10 項，合計 20 項</w:t>
      </w:r>
      <w:r>
        <w:t xml:space="preserve"> 分析控制點，逐項推測其篩選意涵與查核目的，供後續程式設計與向原設計者驗證之參考。（版本 v1150715：軍投新增 1-6 結匯率超過100%、軍投與作維各新增 1-10／2-10 複合條件，軍投原 1-6～1-8 順移為 1-7～1-9。）</w:t>
      </w:r>
    </w:p>
    <w:p>
      <w:pPr>
        <w:spacing w:after="120" w:line="300"/>
      </w:pPr>
      <w:r>
        <w:rPr>
          <w:b/>
          <w:bCs/>
        </w:rPr>
        <w:t xml:space="preserve">推測依據：</w:t>
      </w:r>
      <w:r>
        <w:t xml:space="preserve">參酌審計部第 2292 次、第 2305 次審計會議簡報，《國軍軍購案在途物資之現行管制作為及精進作法》、《淺談軍購案執行實務》等參考資料，並結合對美軍事採購（FMS）之金流與帳務機制。本表為推測整理，非原始設計文件。</w:t>
      </w:r>
    </w:p>
    <w:p>
      <w:pPr>
        <w:pStyle w:val="Heading1"/>
      </w:pPr>
      <w:r>
        <w:t xml:space="preserve">貳、整體設計邏輯</w:t>
      </w:r>
    </w:p>
    <w:p>
      <w:pPr>
        <w:spacing w:after="120" w:line="300"/>
      </w:pPr>
      <w:r>
        <w:t xml:space="preserve">對美軍購採「</w:t>
      </w:r>
      <w:r>
        <w:rPr>
          <w:b/>
          <w:bCs/>
        </w:rPr>
        <w:t xml:space="preserve">政府對政府、先付款後交貨（預付款制）</w:t>
      </w:r>
      <w:r>
        <w:t xml:space="preserve">」模式：我方依發價書（LOA）與美軍季帳單（645 表）</w:t>
      </w:r>
      <w:r>
        <w:rPr>
          <w:b/>
          <w:bCs/>
        </w:rPr>
        <w:t xml:space="preserve">先行結匯付款</w:t>
      </w:r>
      <w:r>
        <w:t xml:space="preserve">，款項存入美國聯邦儲備銀行紐約分行的計息帳戶（</w:t>
      </w:r>
      <w:r>
        <w:rPr>
          <w:b/>
          <w:bCs/>
        </w:rPr>
        <w:t xml:space="preserve">FRB</w:t>
      </w:r>
      <w:r>
        <w:t xml:space="preserve">）；美方國防財務帳務中心（DFAS）每月按未來約 30 日實需，自 FRB 提領至信託基金以支付合約商；美方交貨後於季帳單列計</w:t>
      </w:r>
      <w:r>
        <w:rPr>
          <w:b/>
          <w:bCs/>
        </w:rPr>
        <w:t xml:space="preserve">交運值</w:t>
      </w:r>
      <w:r>
        <w:t xml:space="preserve">，我方再辦理驗收與在途物資沖銷。</w:t>
      </w:r>
    </w:p>
    <w:p>
      <w:pPr>
        <w:spacing w:after="120" w:line="300"/>
      </w:pPr>
      <w:r>
        <w:t xml:space="preserve">其中，</w:t>
      </w:r>
      <w:r>
        <w:rPr>
          <w:b/>
          <w:bCs/>
        </w:rPr>
        <w:t xml:space="preserve">軍購備查帳餘額（＝累積結匯值 − 累積交運值）＝在途物資</w:t>
      </w:r>
      <w:r>
        <w:t xml:space="preserve">，即「已付款、未交貨、滯存美方」的金額，歷來為審計部與立法院檢討的核心焦點。</w:t>
      </w:r>
    </w:p>
    <w:p>
      <w:pPr>
        <w:spacing w:after="120" w:line="300"/>
      </w:pPr>
      <w:r>
        <w:t xml:space="preserve">這 20 項控制點本質上是沿著「錢的旅程」設計的，每一段都對應一個風險節點（節點編號以軍投為例）：</w:t>
      </w:r>
    </w:p>
    <w:p>
      <w:pPr>
        <w:pStyle w:val="ListParagraph"/>
        <w:numPr>
          <w:ilvl w:val="0"/>
          <w:numId w:val="2"/>
        </w:numPr>
        <w:spacing w:after="80" w:line="288"/>
      </w:pPr>
      <w:r>
        <w:rPr>
          <w:b/>
          <w:bCs/>
        </w:rPr>
        <w:t xml:space="preserve">① 結匯滯留（軍投1-7／1-8）：</w:t>
      </w:r>
      <w:r>
        <w:t xml:space="preserve">錢匯出後大量閒置於 FRB，付款超前美方實需。</w:t>
      </w:r>
    </w:p>
    <w:p>
      <w:pPr>
        <w:pStyle w:val="ListParagraph"/>
        <w:numPr>
          <w:ilvl w:val="0"/>
          <w:numId w:val="2"/>
        </w:numPr>
        <w:spacing w:after="80" w:line="288"/>
      </w:pPr>
      <w:r>
        <w:rPr>
          <w:b/>
          <w:bCs/>
        </w:rPr>
        <w:t xml:space="preserve">② 提領未交（軍投1-5）：</w:t>
      </w:r>
      <w:r>
        <w:t xml:space="preserve">美方已自 FRB 提領動支，卻遲未交貨，履約異常風險最高。</w:t>
      </w:r>
    </w:p>
    <w:p>
      <w:pPr>
        <w:pStyle w:val="ListParagraph"/>
        <w:numPr>
          <w:ilvl w:val="0"/>
          <w:numId w:val="2"/>
        </w:numPr>
        <w:spacing w:after="80" w:line="288"/>
      </w:pPr>
      <w:r>
        <w:rPr>
          <w:b/>
          <w:bCs/>
        </w:rPr>
        <w:t xml:space="preserve">③ 交貨落後（軍投1-2／1-3／1-4、1-10）：</w:t>
      </w:r>
      <w:r>
        <w:t xml:space="preserve">交運進度落後於付款進度，在途物資（備查帳）偏高。</w:t>
      </w:r>
    </w:p>
    <w:p>
      <w:pPr>
        <w:pStyle w:val="ListParagraph"/>
        <w:numPr>
          <w:ilvl w:val="0"/>
          <w:numId w:val="2"/>
        </w:numPr>
        <w:spacing w:after="80" w:line="288"/>
      </w:pPr>
      <w:r>
        <w:rPr>
          <w:b/>
          <w:bCs/>
        </w:rPr>
        <w:t xml:space="preserve">④ 例外態樣（結匯溢付、我方欠款）：</w:t>
      </w:r>
      <w:r>
        <w:t xml:space="preserve">結匯率＞100% 之帳務異常（軍投1-6），及待平衡支付值＞0 之欠款監控（軍投1-9）。</w:t>
      </w:r>
    </w:p>
    <w:p>
      <w:pPr>
        <w:spacing w:after="120" w:line="300"/>
      </w:pPr>
      <w:r>
        <w:rPr>
          <w:b/>
          <w:bCs/>
        </w:rPr>
        <w:t xml:space="preserve">雙保險設計：</w:t>
      </w:r>
      <w:r>
        <w:t xml:space="preserve">多數控制點採「相對比率條件 ＋ 絕對金額條件」成對配置——</w:t>
      </w:r>
      <w:r>
        <w:rPr>
          <w:b/>
          <w:bCs/>
        </w:rPr>
        <w:t xml:space="preserve">比率</w:t>
      </w:r>
      <w:r>
        <w:t xml:space="preserve">負責抓出異常型態，</w:t>
      </w:r>
      <w:r>
        <w:rPr>
          <w:b/>
          <w:bCs/>
        </w:rPr>
        <w:t xml:space="preserve">金額門檻</w:t>
      </w:r>
      <w:r>
        <w:t xml:space="preserve">負責抓出滯美資金重大之大案，兩者互補以免遺漏。</w:t>
      </w:r>
    </w:p>
    <w:p>
      <w:pPr>
        <w:spacing w:after="120" w:line="300"/>
      </w:pPr>
      <w:r>
        <w:rPr>
          <w:b/>
          <w:bCs/>
        </w:rPr>
        <w:t xml:space="preserve">軍投 vs. 作維門檻差異：</w:t>
      </w:r>
      <w:r>
        <w:t xml:space="preserve">作維類（開放式軍購、CLSSA 一號／二號訂單）結匯先行、分批交運、案內常無實際交運品項，落差屬常態，故門檻普遍放寬（差異 40%→50%），並多加金額門檻以排除小額案噪音；特別預算案件併入「軍投」類處理。</w:t>
      </w:r>
    </w:p>
    <w:p>
      <w:pPr>
        <w:pStyle w:val="Heading1"/>
      </w:pPr>
      <w:r>
        <w:t xml:space="preserve">參、控制點分析項目說明表</w:t>
      </w:r>
    </w:p>
    <w:p>
      <w:pPr>
        <w:spacing w:after="120" w:line="300"/>
      </w:pPr>
      <w:r>
        <w:rPr>
          <w:b/>
          <w:bCs/>
        </w:rPr>
        <w:t xml:space="preserve">說明：</w:t>
      </w:r>
      <w:r>
        <w:t xml:space="preserve">下表欄位為「類別／分析項目名稱／篩選意涵與目的（推測）」。</w:t>
      </w:r>
    </w:p>
    <w:tbl>
      <w:tblPr>
        <w:tblW w:type="dxa" w:w="136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3600"/>
        <w:gridCol w:w="9180"/>
      </w:tblGrid>
      <w:tr>
        <w:trPr>
          <w:tblHeader/>
        </w:trPr>
        <w:tc>
          <w:tcPr>
            <w:tcW w:type="dxa" w:w="900"/>
            <w:tcBorders>
              <w:top w:val="single" w:color="AAB7C4" w:sz="2"/>
              <w:left w:val="single" w:color="AAB7C4" w:sz="2"/>
              <w:bottom w:val="single" w:color="AAB7C4" w:sz="2"/>
              <w:right w:val="single" w:color="AAB7C4" w:sz="2"/>
            </w:tcBorders>
            <w:shd w:fill="1F4E79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類別</w:t>
            </w:r>
          </w:p>
        </w:tc>
        <w:tc>
          <w:tcPr>
            <w:tcW w:type="dxa" w:w="3600"/>
            <w:tcBorders>
              <w:top w:val="single" w:color="AAB7C4" w:sz="2"/>
              <w:left w:val="single" w:color="AAB7C4" w:sz="2"/>
              <w:bottom w:val="single" w:color="AAB7C4" w:sz="2"/>
              <w:right w:val="single" w:color="AAB7C4" w:sz="2"/>
            </w:tcBorders>
            <w:shd w:fill="1F4E79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分析項目名稱</w:t>
            </w:r>
          </w:p>
        </w:tc>
        <w:tc>
          <w:tcPr>
            <w:tcW w:type="dxa" w:w="9180"/>
            <w:tcBorders>
              <w:top w:val="single" w:color="AAB7C4" w:sz="2"/>
              <w:left w:val="single" w:color="AAB7C4" w:sz="2"/>
              <w:bottom w:val="single" w:color="AAB7C4" w:sz="2"/>
              <w:right w:val="single" w:color="AAB7C4" w:sz="2"/>
            </w:tcBorders>
            <w:shd w:fill="1F4E79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篩選意涵與目的（推測）</w:t>
            </w:r>
          </w:p>
        </w:tc>
      </w:tr>
      <w:tr>
        <w:tc>
          <w:tcPr>
            <w:tcW w:type="dxa" w:w="900"/>
            <w:tcBorders>
              <w:top w:val="single" w:color="AAB7C4" w:sz="2"/>
              <w:left w:val="single" w:color="AAB7C4" w:sz="2"/>
              <w:bottom w:val="single" w:color="AAB7C4" w:sz="2"/>
              <w:right w:val="single" w:color="AAB7C4" w:sz="2"/>
            </w:tcBorders>
            <w:shd w:fill="DCE6F1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軍投</w:t>
            </w:r>
          </w:p>
        </w:tc>
        <w:tc>
          <w:tcPr>
            <w:tcW w:type="dxa" w:w="3600"/>
            <w:tcBorders>
              <w:top w:val="single" w:color="AAB7C4" w:sz="2"/>
              <w:left w:val="single" w:color="AAB7C4" w:sz="2"/>
              <w:bottom w:val="single" w:color="AAB7C4" w:sz="2"/>
              <w:right w:val="single" w:color="AAB7C4" w:sz="2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1-1. 交運值為0</w:t>
            </w:r>
          </w:p>
        </w:tc>
        <w:tc>
          <w:tcPr>
            <w:tcW w:type="dxa" w:w="9180"/>
            <w:tcBorders>
              <w:top w:val="single" w:color="AAB7C4" w:sz="2"/>
              <w:left w:val="single" w:color="AAB7C4" w:sz="2"/>
              <w:bottom w:val="single" w:color="AAB7C4" w:sz="2"/>
              <w:right w:val="single" w:color="AAB7C4" w:sz="2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20"/>
                <w:szCs w:val="20"/>
              </w:rPr>
              <w:t xml:space="preserve">購案初期停滯監控。已付首期款／結匯，但美方毫無交運，可能美方尚未與合約商完成訂約、生產延宕或案件停滯，屬「錢已出、案未動」態樣，應查明生效後執行進度。</w:t>
            </w:r>
          </w:p>
        </w:tc>
      </w:tr>
      <w:tr>
        <w:tc>
          <w:tcPr>
            <w:tcW w:type="dxa" w:w="900"/>
            <w:tcBorders>
              <w:top w:val="single" w:color="AAB7C4" w:sz="2"/>
              <w:left w:val="single" w:color="AAB7C4" w:sz="2"/>
              <w:bottom w:val="single" w:color="AAB7C4" w:sz="2"/>
              <w:right w:val="single" w:color="AAB7C4" w:sz="2"/>
            </w:tcBorders>
            <w:shd w:fill="DCE6F1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軍投</w:t>
            </w:r>
          </w:p>
        </w:tc>
        <w:tc>
          <w:tcPr>
            <w:tcW w:type="dxa" w:w="3600"/>
            <w:tcBorders>
              <w:top w:val="single" w:color="AAB7C4" w:sz="2"/>
              <w:left w:val="single" w:color="AAB7C4" w:sz="2"/>
              <w:bottom w:val="single" w:color="AAB7C4" w:sz="2"/>
              <w:right w:val="single" w:color="AAB7C4" w:sz="2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1-2. 累計交運率未達50%（不含0）</w:t>
            </w:r>
          </w:p>
        </w:tc>
        <w:tc>
          <w:tcPr>
            <w:tcW w:type="dxa" w:w="9180"/>
            <w:tcBorders>
              <w:top w:val="single" w:color="AAB7C4" w:sz="2"/>
              <w:left w:val="single" w:color="AAB7C4" w:sz="2"/>
              <w:bottom w:val="single" w:color="AAB7C4" w:sz="2"/>
              <w:right w:val="single" w:color="AAB7C4" w:sz="2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20"/>
                <w:szCs w:val="20"/>
              </w:rPr>
              <w:t xml:space="preserve">付款超前、交貨落後。交運率(E)＝交運值／結匯值，低於50%代表已結匯款項超過一半尚未取得對應軍品，在途物資偏高。此即帳務中心既有實務「定期統計交運率未達已結匯總額50%者，促請需求單位檢討」。（不含0：交運為0者已由1-1抓出，此處排除以免重複。）</w:t>
            </w:r>
          </w:p>
        </w:tc>
      </w:tr>
      <w:tr>
        <w:tc>
          <w:tcPr>
            <w:tcW w:type="dxa" w:w="900"/>
            <w:tcBorders>
              <w:top w:val="single" w:color="AAB7C4" w:sz="2"/>
              <w:left w:val="single" w:color="AAB7C4" w:sz="2"/>
              <w:bottom w:val="single" w:color="AAB7C4" w:sz="2"/>
              <w:right w:val="single" w:color="AAB7C4" w:sz="2"/>
            </w:tcBorders>
            <w:shd w:fill="DCE6F1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軍投</w:t>
            </w:r>
          </w:p>
        </w:tc>
        <w:tc>
          <w:tcPr>
            <w:tcW w:type="dxa" w:w="3600"/>
            <w:tcBorders>
              <w:top w:val="single" w:color="AAB7C4" w:sz="2"/>
              <w:left w:val="single" w:color="AAB7C4" w:sz="2"/>
              <w:bottom w:val="single" w:color="AAB7C4" w:sz="2"/>
              <w:right w:val="single" w:color="AAB7C4" w:sz="2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1-3.「累計交運值／發價值」與「累計結匯率」差異達40%以上</w:t>
            </w:r>
          </w:p>
        </w:tc>
        <w:tc>
          <w:tcPr>
            <w:tcW w:type="dxa" w:w="9180"/>
            <w:tcBorders>
              <w:top w:val="single" w:color="AAB7C4" w:sz="2"/>
              <w:left w:val="single" w:color="AAB7C4" w:sz="2"/>
              <w:bottom w:val="single" w:color="AAB7C4" w:sz="2"/>
              <w:right w:val="single" w:color="AAB7C4" w:sz="2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20"/>
                <w:szCs w:val="20"/>
              </w:rPr>
              <w:t xml:space="preserve">付款進度與交貨進度嚴重脫節。兩者同以發價值為分母，分別代表「交貨完成度」與「付款完成度」；差距逾40個百分點表示付款遠超前交貨（或反之），應促請修調發價書付款期程、延後或暫緩付款，避免鉅額資金滯美。</w:t>
            </w:r>
          </w:p>
        </w:tc>
      </w:tr>
      <w:tr>
        <w:tc>
          <w:tcPr>
            <w:tcW w:type="dxa" w:w="900"/>
            <w:tcBorders>
              <w:top w:val="single" w:color="AAB7C4" w:sz="2"/>
              <w:left w:val="single" w:color="AAB7C4" w:sz="2"/>
              <w:bottom w:val="single" w:color="AAB7C4" w:sz="2"/>
              <w:right w:val="single" w:color="AAB7C4" w:sz="2"/>
            </w:tcBorders>
            <w:shd w:fill="DCE6F1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軍投</w:t>
            </w:r>
          </w:p>
        </w:tc>
        <w:tc>
          <w:tcPr>
            <w:tcW w:type="dxa" w:w="3600"/>
            <w:tcBorders>
              <w:top w:val="single" w:color="AAB7C4" w:sz="2"/>
              <w:left w:val="single" w:color="AAB7C4" w:sz="2"/>
              <w:bottom w:val="single" w:color="AAB7C4" w:sz="2"/>
              <w:right w:val="single" w:color="AAB7C4" w:sz="2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1-4. 上述差異未達40%，且軍購備查帳餘額達3,000萬美元以上</w:t>
            </w:r>
          </w:p>
        </w:tc>
        <w:tc>
          <w:tcPr>
            <w:tcW w:type="dxa" w:w="9180"/>
            <w:tcBorders>
              <w:top w:val="single" w:color="AAB7C4" w:sz="2"/>
              <w:left w:val="single" w:color="AAB7C4" w:sz="2"/>
              <w:bottom w:val="single" w:color="AAB7C4" w:sz="2"/>
              <w:right w:val="single" w:color="AAB7C4" w:sz="2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20"/>
                <w:szCs w:val="20"/>
              </w:rPr>
              <w:t xml:space="preserve">金額重大性補網。大型案即使進度比率看似正常，已付未交的絕對金額（在途物資）仍極龐大；以3,000萬美元門檻撈出比率篩選抓不到、但滯美資金重大之案件。</w:t>
            </w:r>
          </w:p>
        </w:tc>
      </w:tr>
      <w:tr>
        <w:tc>
          <w:tcPr>
            <w:tcW w:type="dxa" w:w="900"/>
            <w:tcBorders>
              <w:top w:val="single" w:color="AAB7C4" w:sz="2"/>
              <w:left w:val="single" w:color="AAB7C4" w:sz="2"/>
              <w:bottom w:val="single" w:color="AAB7C4" w:sz="2"/>
              <w:right w:val="single" w:color="AAB7C4" w:sz="2"/>
            </w:tcBorders>
            <w:shd w:fill="DCE6F1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軍投</w:t>
            </w:r>
          </w:p>
        </w:tc>
        <w:tc>
          <w:tcPr>
            <w:tcW w:type="dxa" w:w="3600"/>
            <w:tcBorders>
              <w:top w:val="single" w:color="AAB7C4" w:sz="2"/>
              <w:left w:val="single" w:color="AAB7C4" w:sz="2"/>
              <w:bottom w:val="single" w:color="AAB7C4" w:sz="2"/>
              <w:right w:val="single" w:color="AAB7C4" w:sz="2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1-5.「累計交運值」與「累計結匯值減FRB餘額」比率低於10%，且差異金額大於1億美元</w:t>
            </w:r>
          </w:p>
        </w:tc>
        <w:tc>
          <w:tcPr>
            <w:tcW w:type="dxa" w:w="9180"/>
            <w:tcBorders>
              <w:top w:val="single" w:color="AAB7C4" w:sz="2"/>
              <w:left w:val="single" w:color="AAB7C4" w:sz="2"/>
              <w:bottom w:val="single" w:color="AAB7C4" w:sz="2"/>
              <w:right w:val="single" w:color="AAB7C4" w:sz="2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20"/>
                <w:szCs w:val="20"/>
              </w:rPr>
              <w:t xml:space="preserve">美方已提領動支卻未交貨。「結匯值−FRB餘額」≒美方已自我方FRB帳戶提領（進入信託基金、理論上已支付合約商）之金額；交運值不及其一成且差額逾1億美元，表示錢已被美方領用但貨遲未交，恐有履約異常、提領基數過高（如以2.5個月計算）等情形，為風險最高的態樣之一。</w:t>
            </w:r>
          </w:p>
        </w:tc>
      </w:tr>
      <w:tr>
        <w:tc>
          <w:tcPr>
            <w:tcW w:type="dxa" w:w="900"/>
            <w:tcBorders>
              <w:top w:val="single" w:color="AAB7C4" w:sz="2"/>
              <w:left w:val="single" w:color="AAB7C4" w:sz="2"/>
              <w:bottom w:val="single" w:color="AAB7C4" w:sz="2"/>
              <w:right w:val="single" w:color="AAB7C4" w:sz="2"/>
            </w:tcBorders>
            <w:shd w:fill="DCE6F1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軍投</w:t>
            </w:r>
          </w:p>
        </w:tc>
        <w:tc>
          <w:tcPr>
            <w:tcW w:type="dxa" w:w="3600"/>
            <w:tcBorders>
              <w:top w:val="single" w:color="AAB7C4" w:sz="2"/>
              <w:left w:val="single" w:color="AAB7C4" w:sz="2"/>
              <w:bottom w:val="single" w:color="AAB7C4" w:sz="2"/>
              <w:right w:val="single" w:color="AAB7C4" w:sz="2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1-6. 結匯率超過100%（v1150715新增）</w:t>
            </w:r>
          </w:p>
        </w:tc>
        <w:tc>
          <w:tcPr>
            <w:tcW w:type="dxa" w:w="9180"/>
            <w:tcBorders>
              <w:top w:val="single" w:color="AAB7C4" w:sz="2"/>
              <w:left w:val="single" w:color="AAB7C4" w:sz="2"/>
              <w:bottom w:val="single" w:color="AAB7C4" w:sz="2"/>
              <w:right w:val="single" w:color="AAB7C4" w:sz="2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20"/>
                <w:szCs w:val="20"/>
              </w:rPr>
              <w:t xml:space="preserve">溢付異常。累計結匯超過發價書總值（結匯率＞100%），可能係發價書修訂調降額度後未同步反映、重複或錯誤結匯等帳務異常，應查明並追討退匯。原僅作維設此項，本次比照增列於軍投。</w:t>
            </w:r>
          </w:p>
        </w:tc>
      </w:tr>
      <w:tr>
        <w:tc>
          <w:tcPr>
            <w:tcW w:type="dxa" w:w="900"/>
            <w:tcBorders>
              <w:top w:val="single" w:color="AAB7C4" w:sz="2"/>
              <w:left w:val="single" w:color="AAB7C4" w:sz="2"/>
              <w:bottom w:val="single" w:color="AAB7C4" w:sz="2"/>
              <w:right w:val="single" w:color="AAB7C4" w:sz="2"/>
            </w:tcBorders>
            <w:shd w:fill="DCE6F1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軍投</w:t>
            </w:r>
          </w:p>
        </w:tc>
        <w:tc>
          <w:tcPr>
            <w:tcW w:type="dxa" w:w="3600"/>
            <w:tcBorders>
              <w:top w:val="single" w:color="AAB7C4" w:sz="2"/>
              <w:left w:val="single" w:color="AAB7C4" w:sz="2"/>
              <w:bottom w:val="single" w:color="AAB7C4" w:sz="2"/>
              <w:right w:val="single" w:color="AAB7C4" w:sz="2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1-7. FRB餘額占累計結匯值比率達40%以上（原1-6順移）</w:t>
            </w:r>
          </w:p>
        </w:tc>
        <w:tc>
          <w:tcPr>
            <w:tcW w:type="dxa" w:w="9180"/>
            <w:tcBorders>
              <w:top w:val="single" w:color="AAB7C4" w:sz="2"/>
              <w:left w:val="single" w:color="AAB7C4" w:sz="2"/>
              <w:bottom w:val="single" w:color="AAB7C4" w:sz="2"/>
              <w:right w:val="single" w:color="AAB7C4" w:sz="2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20"/>
                <w:szCs w:val="20"/>
              </w:rPr>
              <w:t xml:space="preserve">結匯過早過多、資金閒置滯美。已匯出的錢大半仍躺在FRB帳戶未被動支，代表付款期程明顯超前美方實需，應檢討依實際執行進度結匯、修調發價書付款期程，提升資金配置效率。</w:t>
            </w:r>
          </w:p>
        </w:tc>
      </w:tr>
      <w:tr>
        <w:tc>
          <w:tcPr>
            <w:tcW w:type="dxa" w:w="900"/>
            <w:tcBorders>
              <w:top w:val="single" w:color="AAB7C4" w:sz="2"/>
              <w:left w:val="single" w:color="AAB7C4" w:sz="2"/>
              <w:bottom w:val="single" w:color="AAB7C4" w:sz="2"/>
              <w:right w:val="single" w:color="AAB7C4" w:sz="2"/>
            </w:tcBorders>
            <w:shd w:fill="DCE6F1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軍投</w:t>
            </w:r>
          </w:p>
        </w:tc>
        <w:tc>
          <w:tcPr>
            <w:tcW w:type="dxa" w:w="3600"/>
            <w:tcBorders>
              <w:top w:val="single" w:color="AAB7C4" w:sz="2"/>
              <w:left w:val="single" w:color="AAB7C4" w:sz="2"/>
              <w:bottom w:val="single" w:color="AAB7C4" w:sz="2"/>
              <w:right w:val="single" w:color="AAB7C4" w:sz="2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1-8. 上述比率未達40%，且FRB餘額達3,000萬美元以上（原1-7順移）</w:t>
            </w:r>
          </w:p>
        </w:tc>
        <w:tc>
          <w:tcPr>
            <w:tcW w:type="dxa" w:w="9180"/>
            <w:tcBorders>
              <w:top w:val="single" w:color="AAB7C4" w:sz="2"/>
              <w:left w:val="single" w:color="AAB7C4" w:sz="2"/>
              <w:bottom w:val="single" w:color="AAB7C4" w:sz="2"/>
              <w:right w:val="single" w:color="AAB7C4" w:sz="2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20"/>
                <w:szCs w:val="20"/>
              </w:rPr>
              <w:t xml:space="preserve">同上之金額重大性補網。比率雖低，但滯存FRB的絕對金額達3,000萬美元以上，閒置資金規模仍重大，值得逐案檢視結匯必要性。</w:t>
            </w:r>
          </w:p>
        </w:tc>
      </w:tr>
      <w:tr>
        <w:tc>
          <w:tcPr>
            <w:tcW w:type="dxa" w:w="900"/>
            <w:tcBorders>
              <w:top w:val="single" w:color="AAB7C4" w:sz="2"/>
              <w:left w:val="single" w:color="AAB7C4" w:sz="2"/>
              <w:bottom w:val="single" w:color="AAB7C4" w:sz="2"/>
              <w:right w:val="single" w:color="AAB7C4" w:sz="2"/>
            </w:tcBorders>
            <w:shd w:fill="DCE6F1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軍投</w:t>
            </w:r>
          </w:p>
        </w:tc>
        <w:tc>
          <w:tcPr>
            <w:tcW w:type="dxa" w:w="3600"/>
            <w:tcBorders>
              <w:top w:val="single" w:color="AAB7C4" w:sz="2"/>
              <w:left w:val="single" w:color="AAB7C4" w:sz="2"/>
              <w:bottom w:val="single" w:color="AAB7C4" w:sz="2"/>
              <w:right w:val="single" w:color="AAB7C4" w:sz="2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1-9. 待平衡支付值大於0（欠款案件）（原1-8順移）</w:t>
            </w:r>
          </w:p>
        </w:tc>
        <w:tc>
          <w:tcPr>
            <w:tcW w:type="dxa" w:w="9180"/>
            <w:tcBorders>
              <w:top w:val="single" w:color="AAB7C4" w:sz="2"/>
              <w:left w:val="single" w:color="AAB7C4" w:sz="2"/>
              <w:bottom w:val="single" w:color="AAB7C4" w:sz="2"/>
              <w:right w:val="single" w:color="AAB7C4" w:sz="2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20"/>
                <w:szCs w:val="20"/>
              </w:rPr>
              <w:t xml:space="preserve">反向監控：我方付款落後。645季帳單之待平衡支付值＞0，表示美方執行進度已超前我方付款、我方有應付未付款項，恐影響案件執行或我方信用，應儘速檢討撥付。</w:t>
            </w:r>
          </w:p>
        </w:tc>
      </w:tr>
      <w:tr>
        <w:tc>
          <w:tcPr>
            <w:tcW w:type="dxa" w:w="900"/>
            <w:tcBorders>
              <w:top w:val="single" w:color="AAB7C4" w:sz="2"/>
              <w:left w:val="single" w:color="AAB7C4" w:sz="2"/>
              <w:bottom w:val="single" w:color="AAB7C4" w:sz="2"/>
              <w:right w:val="single" w:color="AAB7C4" w:sz="2"/>
            </w:tcBorders>
            <w:shd w:fill="DCE6F1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軍投</w:t>
            </w:r>
          </w:p>
        </w:tc>
        <w:tc>
          <w:tcPr>
            <w:tcW w:type="dxa" w:w="3600"/>
            <w:tcBorders>
              <w:top w:val="single" w:color="AAB7C4" w:sz="2"/>
              <w:left w:val="single" w:color="AAB7C4" w:sz="2"/>
              <w:bottom w:val="single" w:color="AAB7C4" w:sz="2"/>
              <w:right w:val="single" w:color="AAB7C4" w:sz="2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1-10. 累計結匯率達90%，且累計交運率未達50%（v1150715新增）</w:t>
            </w:r>
          </w:p>
        </w:tc>
        <w:tc>
          <w:tcPr>
            <w:tcW w:type="dxa" w:w="9180"/>
            <w:tcBorders>
              <w:top w:val="single" w:color="AAB7C4" w:sz="2"/>
              <w:left w:val="single" w:color="AAB7C4" w:sz="2"/>
              <w:bottom w:val="single" w:color="AAB7C4" w:sz="2"/>
              <w:right w:val="single" w:color="AAB7C4" w:sz="2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20"/>
                <w:szCs w:val="20"/>
              </w:rPr>
              <w:t xml:space="preserve">審計實務常用之複合篩選。結匯率≥90%代表款項幾近全數付出、交運率&lt;50%代表交貨嚴重落後，兩者並存＝「錢付了、貨沒到」的高在途物資態樣，是各單位軍購管制會議常見的檢討分類。與1-2（交運率&lt;50%）、1-6（結匯率&gt;100%）部分重疊屬正常，各自對應不同檢討態樣，不合併。</w:t>
            </w:r>
          </w:p>
        </w:tc>
      </w:tr>
      <w:tr>
        <w:tc>
          <w:tcPr>
            <w:tcW w:type="dxa" w:w="900"/>
            <w:tcBorders>
              <w:top w:val="single" w:color="AAB7C4" w:sz="2"/>
              <w:left w:val="single" w:color="AAB7C4" w:sz="2"/>
              <w:bottom w:val="single" w:color="AAB7C4" w:sz="2"/>
              <w:right w:val="single" w:color="AAB7C4" w:sz="2"/>
            </w:tcBorders>
            <w:shd w:fill="FCE4D6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作維</w:t>
            </w:r>
          </w:p>
        </w:tc>
        <w:tc>
          <w:tcPr>
            <w:tcW w:type="dxa" w:w="3600"/>
            <w:tcBorders>
              <w:top w:val="single" w:color="AAB7C4" w:sz="2"/>
              <w:left w:val="single" w:color="AAB7C4" w:sz="2"/>
              <w:bottom w:val="single" w:color="AAB7C4" w:sz="2"/>
              <w:right w:val="single" w:color="AAB7C4" w:sz="2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2-1. 交運值為0，結匯值300萬美元以上</w:t>
            </w:r>
          </w:p>
        </w:tc>
        <w:tc>
          <w:tcPr>
            <w:tcW w:type="dxa" w:w="9180"/>
            <w:tcBorders>
              <w:top w:val="single" w:color="AAB7C4" w:sz="2"/>
              <w:left w:val="single" w:color="AAB7C4" w:sz="2"/>
              <w:bottom w:val="single" w:color="AAB7C4" w:sz="2"/>
              <w:right w:val="single" w:color="AAB7C4" w:sz="2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20"/>
                <w:szCs w:val="20"/>
              </w:rPr>
              <w:t xml:space="preserve">同軍投1-1（初期停滯監控），但作維案件多而金額小，加設「結匯值≥300萬美元」重大性門檻，聚焦已付較多款卻毫無交運之案件，排除小額案噪音。</w:t>
            </w:r>
          </w:p>
        </w:tc>
      </w:tr>
      <w:tr>
        <w:tc>
          <w:tcPr>
            <w:tcW w:type="dxa" w:w="900"/>
            <w:tcBorders>
              <w:top w:val="single" w:color="AAB7C4" w:sz="2"/>
              <w:left w:val="single" w:color="AAB7C4" w:sz="2"/>
              <w:bottom w:val="single" w:color="AAB7C4" w:sz="2"/>
              <w:right w:val="single" w:color="AAB7C4" w:sz="2"/>
            </w:tcBorders>
            <w:shd w:fill="FCE4D6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作維</w:t>
            </w:r>
          </w:p>
        </w:tc>
        <w:tc>
          <w:tcPr>
            <w:tcW w:type="dxa" w:w="3600"/>
            <w:tcBorders>
              <w:top w:val="single" w:color="AAB7C4" w:sz="2"/>
              <w:left w:val="single" w:color="AAB7C4" w:sz="2"/>
              <w:bottom w:val="single" w:color="AAB7C4" w:sz="2"/>
              <w:right w:val="single" w:color="AAB7C4" w:sz="2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2-2. 累計交運率未達50%（不含0），且備查帳餘額達3,000萬美元以上</w:t>
            </w:r>
          </w:p>
        </w:tc>
        <w:tc>
          <w:tcPr>
            <w:tcW w:type="dxa" w:w="9180"/>
            <w:tcBorders>
              <w:top w:val="single" w:color="AAB7C4" w:sz="2"/>
              <w:left w:val="single" w:color="AAB7C4" w:sz="2"/>
              <w:bottom w:val="single" w:color="AAB7C4" w:sz="2"/>
              <w:right w:val="single" w:color="AAB7C4" w:sz="2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20"/>
                <w:szCs w:val="20"/>
              </w:rPr>
              <w:t xml:space="preserve">同軍投1-2（交貨落後），排除交運為0者（已由2-1抓出），並加3,000萬美元在途物資門檻——作維類（開放式、CLSSA）結匯先行、分批交運屬常態，故僅篩金額重大者。</w:t>
            </w:r>
          </w:p>
        </w:tc>
      </w:tr>
      <w:tr>
        <w:tc>
          <w:tcPr>
            <w:tcW w:type="dxa" w:w="900"/>
            <w:tcBorders>
              <w:top w:val="single" w:color="AAB7C4" w:sz="2"/>
              <w:left w:val="single" w:color="AAB7C4" w:sz="2"/>
              <w:bottom w:val="single" w:color="AAB7C4" w:sz="2"/>
              <w:right w:val="single" w:color="AAB7C4" w:sz="2"/>
            </w:tcBorders>
            <w:shd w:fill="FCE4D6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作維</w:t>
            </w:r>
          </w:p>
        </w:tc>
        <w:tc>
          <w:tcPr>
            <w:tcW w:type="dxa" w:w="3600"/>
            <w:tcBorders>
              <w:top w:val="single" w:color="AAB7C4" w:sz="2"/>
              <w:left w:val="single" w:color="AAB7C4" w:sz="2"/>
              <w:bottom w:val="single" w:color="AAB7C4" w:sz="2"/>
              <w:right w:val="single" w:color="AAB7C4" w:sz="2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2-3.「累計交運值／發價值」與「累計結匯率」差異達50%以上，且備查帳餘額300萬美元以上</w:t>
            </w:r>
          </w:p>
        </w:tc>
        <w:tc>
          <w:tcPr>
            <w:tcW w:type="dxa" w:w="9180"/>
            <w:tcBorders>
              <w:top w:val="single" w:color="AAB7C4" w:sz="2"/>
              <w:left w:val="single" w:color="AAB7C4" w:sz="2"/>
              <w:bottom w:val="single" w:color="AAB7C4" w:sz="2"/>
              <w:right w:val="single" w:color="AAB7C4" w:sz="2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20"/>
                <w:szCs w:val="20"/>
              </w:rPr>
              <w:t xml:space="preserve">同軍投1-3（付款與交貨脫節），門檻放寬至50%——因一號訂單案內天然無實際交運品項、開放式案先建額度後下訂，落差天然較大；另加300萬美元門檻排除微小案件。</w:t>
            </w:r>
          </w:p>
        </w:tc>
      </w:tr>
      <w:tr>
        <w:tc>
          <w:tcPr>
            <w:tcW w:type="dxa" w:w="900"/>
            <w:tcBorders>
              <w:top w:val="single" w:color="AAB7C4" w:sz="2"/>
              <w:left w:val="single" w:color="AAB7C4" w:sz="2"/>
              <w:bottom w:val="single" w:color="AAB7C4" w:sz="2"/>
              <w:right w:val="single" w:color="AAB7C4" w:sz="2"/>
            </w:tcBorders>
            <w:shd w:fill="FCE4D6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作維</w:t>
            </w:r>
          </w:p>
        </w:tc>
        <w:tc>
          <w:tcPr>
            <w:tcW w:type="dxa" w:w="3600"/>
            <w:tcBorders>
              <w:top w:val="single" w:color="AAB7C4" w:sz="2"/>
              <w:left w:val="single" w:color="AAB7C4" w:sz="2"/>
              <w:bottom w:val="single" w:color="AAB7C4" w:sz="2"/>
              <w:right w:val="single" w:color="AAB7C4" w:sz="2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2-4. 上述差異未達50%，且備查帳餘額達3,000萬美元以上</w:t>
            </w:r>
          </w:p>
        </w:tc>
        <w:tc>
          <w:tcPr>
            <w:tcW w:type="dxa" w:w="9180"/>
            <w:tcBorders>
              <w:top w:val="single" w:color="AAB7C4" w:sz="2"/>
              <w:left w:val="single" w:color="AAB7C4" w:sz="2"/>
              <w:bottom w:val="single" w:color="AAB7C4" w:sz="2"/>
              <w:right w:val="single" w:color="AAB7C4" w:sz="2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20"/>
                <w:szCs w:val="20"/>
              </w:rPr>
              <w:t xml:space="preserve">同軍投1-4（金額重大性補網）：進度比率正常，但已付未交絕對金額龐大，仍應列管。</w:t>
            </w:r>
          </w:p>
        </w:tc>
      </w:tr>
      <w:tr>
        <w:tc>
          <w:tcPr>
            <w:tcW w:type="dxa" w:w="900"/>
            <w:tcBorders>
              <w:top w:val="single" w:color="AAB7C4" w:sz="2"/>
              <w:left w:val="single" w:color="AAB7C4" w:sz="2"/>
              <w:bottom w:val="single" w:color="AAB7C4" w:sz="2"/>
              <w:right w:val="single" w:color="AAB7C4" w:sz="2"/>
            </w:tcBorders>
            <w:shd w:fill="FCE4D6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作維</w:t>
            </w:r>
          </w:p>
        </w:tc>
        <w:tc>
          <w:tcPr>
            <w:tcW w:type="dxa" w:w="3600"/>
            <w:tcBorders>
              <w:top w:val="single" w:color="AAB7C4" w:sz="2"/>
              <w:left w:val="single" w:color="AAB7C4" w:sz="2"/>
              <w:bottom w:val="single" w:color="AAB7C4" w:sz="2"/>
              <w:right w:val="single" w:color="AAB7C4" w:sz="2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2-5.「累計交運值」與「累計結匯值減FRB餘額」比率低於10%，且差異金額大於1,000萬美元</w:t>
            </w:r>
          </w:p>
        </w:tc>
        <w:tc>
          <w:tcPr>
            <w:tcW w:type="dxa" w:w="9180"/>
            <w:tcBorders>
              <w:top w:val="single" w:color="AAB7C4" w:sz="2"/>
              <w:left w:val="single" w:color="AAB7C4" w:sz="2"/>
              <w:bottom w:val="single" w:color="AAB7C4" w:sz="2"/>
              <w:right w:val="single" w:color="AAB7C4" w:sz="2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20"/>
                <w:szCs w:val="20"/>
              </w:rPr>
              <w:t xml:space="preserve">同軍投1-5（美方領錢未交貨），金額門檻依作維案規模調降為1,000萬美元。</w:t>
            </w:r>
          </w:p>
        </w:tc>
      </w:tr>
      <w:tr>
        <w:tc>
          <w:tcPr>
            <w:tcW w:type="dxa" w:w="900"/>
            <w:tcBorders>
              <w:top w:val="single" w:color="AAB7C4" w:sz="2"/>
              <w:left w:val="single" w:color="AAB7C4" w:sz="2"/>
              <w:bottom w:val="single" w:color="AAB7C4" w:sz="2"/>
              <w:right w:val="single" w:color="AAB7C4" w:sz="2"/>
            </w:tcBorders>
            <w:shd w:fill="FCE4D6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作維</w:t>
            </w:r>
          </w:p>
        </w:tc>
        <w:tc>
          <w:tcPr>
            <w:tcW w:type="dxa" w:w="3600"/>
            <w:tcBorders>
              <w:top w:val="single" w:color="AAB7C4" w:sz="2"/>
              <w:left w:val="single" w:color="AAB7C4" w:sz="2"/>
              <w:bottom w:val="single" w:color="AAB7C4" w:sz="2"/>
              <w:right w:val="single" w:color="AAB7C4" w:sz="2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2-6. 結匯率超過100%</w:t>
            </w:r>
          </w:p>
        </w:tc>
        <w:tc>
          <w:tcPr>
            <w:tcW w:type="dxa" w:w="9180"/>
            <w:tcBorders>
              <w:top w:val="single" w:color="AAB7C4" w:sz="2"/>
              <w:left w:val="single" w:color="AAB7C4" w:sz="2"/>
              <w:bottom w:val="single" w:color="AAB7C4" w:sz="2"/>
              <w:right w:val="single" w:color="AAB7C4" w:sz="2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20"/>
                <w:szCs w:val="20"/>
              </w:rPr>
              <w:t xml:space="preserve">溢付異常。累計結匯超過發價書總值，可能係發價書修訂調降額度後未同步反映、重複或錯誤結匯等帳務異常，應查明並追討退匯。（開放式案額度變動頻繁，較易發生。）</w:t>
            </w:r>
          </w:p>
        </w:tc>
      </w:tr>
      <w:tr>
        <w:tc>
          <w:tcPr>
            <w:tcW w:type="dxa" w:w="900"/>
            <w:tcBorders>
              <w:top w:val="single" w:color="AAB7C4" w:sz="2"/>
              <w:left w:val="single" w:color="AAB7C4" w:sz="2"/>
              <w:bottom w:val="single" w:color="AAB7C4" w:sz="2"/>
              <w:right w:val="single" w:color="AAB7C4" w:sz="2"/>
            </w:tcBorders>
            <w:shd w:fill="FCE4D6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作維</w:t>
            </w:r>
          </w:p>
        </w:tc>
        <w:tc>
          <w:tcPr>
            <w:tcW w:type="dxa" w:w="3600"/>
            <w:tcBorders>
              <w:top w:val="single" w:color="AAB7C4" w:sz="2"/>
              <w:left w:val="single" w:color="AAB7C4" w:sz="2"/>
              <w:bottom w:val="single" w:color="AAB7C4" w:sz="2"/>
              <w:right w:val="single" w:color="AAB7C4" w:sz="2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2-7. FRB餘額占累計結匯值比率達50%以上，且FRB餘額達300萬美元以上</w:t>
            </w:r>
          </w:p>
        </w:tc>
        <w:tc>
          <w:tcPr>
            <w:tcW w:type="dxa" w:w="9180"/>
            <w:tcBorders>
              <w:top w:val="single" w:color="AAB7C4" w:sz="2"/>
              <w:left w:val="single" w:color="AAB7C4" w:sz="2"/>
              <w:bottom w:val="single" w:color="AAB7C4" w:sz="2"/>
              <w:right w:val="single" w:color="AAB7C4" w:sz="2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20"/>
                <w:szCs w:val="20"/>
              </w:rPr>
              <w:t xml:space="preserve">同軍投1-7（資金閒置滯美），比率門檻放寬至50%並加300萬美元絕對門檻，配合作維案規模特性。</w:t>
            </w:r>
          </w:p>
        </w:tc>
      </w:tr>
      <w:tr>
        <w:tc>
          <w:tcPr>
            <w:tcW w:type="dxa" w:w="900"/>
            <w:tcBorders>
              <w:top w:val="single" w:color="AAB7C4" w:sz="2"/>
              <w:left w:val="single" w:color="AAB7C4" w:sz="2"/>
              <w:bottom w:val="single" w:color="AAB7C4" w:sz="2"/>
              <w:right w:val="single" w:color="AAB7C4" w:sz="2"/>
            </w:tcBorders>
            <w:shd w:fill="FCE4D6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作維</w:t>
            </w:r>
          </w:p>
        </w:tc>
        <w:tc>
          <w:tcPr>
            <w:tcW w:type="dxa" w:w="3600"/>
            <w:tcBorders>
              <w:top w:val="single" w:color="AAB7C4" w:sz="2"/>
              <w:left w:val="single" w:color="AAB7C4" w:sz="2"/>
              <w:bottom w:val="single" w:color="AAB7C4" w:sz="2"/>
              <w:right w:val="single" w:color="AAB7C4" w:sz="2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2-8. 上述比率未達50%，且FRB餘額達1,000萬美元以上</w:t>
            </w:r>
          </w:p>
        </w:tc>
        <w:tc>
          <w:tcPr>
            <w:tcW w:type="dxa" w:w="9180"/>
            <w:tcBorders>
              <w:top w:val="single" w:color="AAB7C4" w:sz="2"/>
              <w:left w:val="single" w:color="AAB7C4" w:sz="2"/>
              <w:bottom w:val="single" w:color="AAB7C4" w:sz="2"/>
              <w:right w:val="single" w:color="AAB7C4" w:sz="2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20"/>
                <w:szCs w:val="20"/>
              </w:rPr>
              <w:t xml:space="preserve">同軍投1-8（金額重大性補網）：閒置比率不高但FRB滯存絕對金額達1,000萬美元以上，仍屬資金運用效率議題。</w:t>
            </w:r>
          </w:p>
        </w:tc>
      </w:tr>
      <w:tr>
        <w:tc>
          <w:tcPr>
            <w:tcW w:type="dxa" w:w="900"/>
            <w:tcBorders>
              <w:top w:val="single" w:color="AAB7C4" w:sz="2"/>
              <w:left w:val="single" w:color="AAB7C4" w:sz="2"/>
              <w:bottom w:val="single" w:color="AAB7C4" w:sz="2"/>
              <w:right w:val="single" w:color="AAB7C4" w:sz="2"/>
            </w:tcBorders>
            <w:shd w:fill="FCE4D6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作維</w:t>
            </w:r>
          </w:p>
        </w:tc>
        <w:tc>
          <w:tcPr>
            <w:tcW w:type="dxa" w:w="3600"/>
            <w:tcBorders>
              <w:top w:val="single" w:color="AAB7C4" w:sz="2"/>
              <w:left w:val="single" w:color="AAB7C4" w:sz="2"/>
              <w:bottom w:val="single" w:color="AAB7C4" w:sz="2"/>
              <w:right w:val="single" w:color="AAB7C4" w:sz="2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2-9. 待平衡支付值大於0（欠款案件）</w:t>
            </w:r>
          </w:p>
        </w:tc>
        <w:tc>
          <w:tcPr>
            <w:tcW w:type="dxa" w:w="9180"/>
            <w:tcBorders>
              <w:top w:val="single" w:color="AAB7C4" w:sz="2"/>
              <w:left w:val="single" w:color="AAB7C4" w:sz="2"/>
              <w:bottom w:val="single" w:color="AAB7C4" w:sz="2"/>
              <w:right w:val="single" w:color="AAB7C4" w:sz="2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20"/>
                <w:szCs w:val="20"/>
              </w:rPr>
              <w:t xml:space="preserve">同軍投1-9：我方應付未付之欠款案件監控。</w:t>
            </w:r>
          </w:p>
        </w:tc>
      </w:tr>
      <w:tr>
        <w:tc>
          <w:tcPr>
            <w:tcW w:type="dxa" w:w="900"/>
            <w:tcBorders>
              <w:top w:val="single" w:color="AAB7C4" w:sz="2"/>
              <w:left w:val="single" w:color="AAB7C4" w:sz="2"/>
              <w:bottom w:val="single" w:color="AAB7C4" w:sz="2"/>
              <w:right w:val="single" w:color="AAB7C4" w:sz="2"/>
            </w:tcBorders>
            <w:shd w:fill="FCE4D6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作維</w:t>
            </w:r>
          </w:p>
        </w:tc>
        <w:tc>
          <w:tcPr>
            <w:tcW w:type="dxa" w:w="3600"/>
            <w:tcBorders>
              <w:top w:val="single" w:color="AAB7C4" w:sz="2"/>
              <w:left w:val="single" w:color="AAB7C4" w:sz="2"/>
              <w:bottom w:val="single" w:color="AAB7C4" w:sz="2"/>
              <w:right w:val="single" w:color="AAB7C4" w:sz="2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2-10. 累計結匯率達90%，且累計交運率未達50%（v1150715新增）</w:t>
            </w:r>
          </w:p>
        </w:tc>
        <w:tc>
          <w:tcPr>
            <w:tcW w:type="dxa" w:w="9180"/>
            <w:tcBorders>
              <w:top w:val="single" w:color="AAB7C4" w:sz="2"/>
              <w:left w:val="single" w:color="AAB7C4" w:sz="2"/>
              <w:bottom w:val="single" w:color="AAB7C4" w:sz="2"/>
              <w:right w:val="single" w:color="AAB7C4" w:sz="2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20"/>
                <w:szCs w:val="20"/>
              </w:rPr>
              <w:t xml:space="preserve">同軍投1-10之複合篩選。作維類雖分批交運屬常態，仍以「結匯近全數、交運嚴重落後」鎖定在途物資偏高之案件；門檻與軍投各自獨立，可分別調整。</w:t>
            </w:r>
          </w:p>
        </w:tc>
      </w:tr>
    </w:tbl>
    <w:p>
      <w:pPr>
        <w:spacing w:before="240"/>
      </w:pPr>
    </w:p>
    <w:p>
      <w:pPr>
        <w:pStyle w:val="Heading1"/>
      </w:pPr>
      <w:r>
        <w:t xml:space="preserve">肆、補充說明</w:t>
      </w:r>
    </w:p>
    <w:p>
      <w:pPr>
        <w:pStyle w:val="ListParagraph"/>
        <w:numPr>
          <w:ilvl w:val="0"/>
          <w:numId w:val="2"/>
        </w:numPr>
        <w:spacing w:after="80" w:line="288"/>
      </w:pPr>
      <w:r>
        <w:rPr>
          <w:b/>
          <w:bCs/>
        </w:rPr>
        <w:t xml:space="preserve">編號異動（v1150715）：</w:t>
      </w:r>
      <w:r>
        <w:t xml:space="preserve">軍投於 1-5 之後插入新項「1-6 結匯率超過100%」，原 1-6／1-7／1-8 順移為 1-7／1-8／1-9；軍投、作維各於末尾新增「1-10／2-10 累計結匯率達90%且交運率未達50%」。作維 2-1～2-9 編號不變。</w:t>
      </w:r>
    </w:p>
    <w:p>
      <w:pPr>
        <w:pStyle w:val="ListParagraph"/>
        <w:numPr>
          <w:ilvl w:val="0"/>
          <w:numId w:val="2"/>
        </w:numPr>
        <w:spacing w:after="80" w:line="288"/>
      </w:pPr>
      <w:r>
        <w:rPr>
          <w:b/>
          <w:bCs/>
        </w:rPr>
        <w:t xml:space="preserve">重疊屬正常：</w:t>
      </w:r>
      <w:r>
        <w:t xml:space="preserve">新增之 1-10／2-10 與 1-2（交運率&lt;50%）、1-6／2-6（結匯率&gt;100%）在條件上部分重疊，係因各對應不同「檢討態樣」分類，刻意並存、不合併；同一案件符合多項時於分析結果各列一筆。</w:t>
      </w:r>
    </w:p>
    <w:p>
      <w:pPr>
        <w:pStyle w:val="ListParagraph"/>
        <w:numPr>
          <w:ilvl w:val="0"/>
          <w:numId w:val="2"/>
        </w:numPr>
        <w:spacing w:after="80" w:line="288"/>
      </w:pPr>
      <w:r>
        <w:rPr>
          <w:b/>
          <w:bCs/>
        </w:rPr>
        <w:t xml:space="preserve">原文誤字：</w:t>
      </w:r>
      <w:r>
        <w:t xml:space="preserve">軍投 1-4 原文「軍購被查帳」應為「軍購備查帳」。</w:t>
      </w:r>
    </w:p>
    <w:p>
      <w:pPr>
        <w:pStyle w:val="ListParagraph"/>
        <w:numPr>
          <w:ilvl w:val="0"/>
          <w:numId w:val="2"/>
        </w:numPr>
        <w:spacing w:after="80" w:line="288"/>
      </w:pPr>
      <w:r>
        <w:rPr>
          <w:b/>
          <w:bCs/>
        </w:rPr>
        <w:t xml:space="preserve">原文疑義：</w:t>
      </w:r>
      <w:r>
        <w:t xml:space="preserve">作維 2-9 原文寫「…之軍事投資案件」，推測係自軍投對應項複製時漏改，實際應指作維案件。</w:t>
      </w:r>
    </w:p>
    <w:p>
      <w:pPr>
        <w:pStyle w:val="ListParagraph"/>
        <w:numPr>
          <w:ilvl w:val="0"/>
          <w:numId w:val="2"/>
        </w:numPr>
        <w:spacing w:after="80" w:line="288"/>
      </w:pPr>
      <w:r>
        <w:rPr>
          <w:b/>
          <w:bCs/>
        </w:rPr>
        <w:t xml:space="preserve">驗證建議：</w:t>
      </w:r>
      <w:r>
        <w:t xml:space="preserve">本表為推測整理，建議以第 2305 次審計會議簡報第 13 頁（購案初期／中期／末期分類）向原設計者或第二廳前輩查證後定案。</w:t>
      </w:r>
    </w:p>
    <w:sectPr>
      <w:pgSz w:w="15840" w:h="12240" w:orient="landscape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00" w:hanging="28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Microsoft JhengHei" w:cs="Microsoft JhengHei" w:eastAsia="Microsoft JhengHei" w:hAnsi="Microsoft JhengHe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40" w:before="240"/>
      <w:outlineLvl w:val="0"/>
    </w:pPr>
    <w:rPr>
      <w:rFonts w:ascii="Microsoft JhengHei" w:cs="Microsoft JhengHei" w:eastAsia="Microsoft JhengHei" w:hAnsi="Microsoft JhengHei"/>
      <w:b/>
      <w:bCs/>
      <w:color w:val="1F4E79"/>
      <w:sz w:val="26"/>
      <w:szCs w:val="26"/>
    </w:rPr>
  </w:style>
  <w:style w:type="paragraph" w:styleId="Heading2">
    <w:name w:val="Heading 2"/>
    <w:basedOn w:val="Normal"/>
    <w:next w:val="Normal"/>
    <w:qFormat/>
    <w:pPr>
      <w:spacing w:after="100" w:before="160"/>
      <w:outlineLvl w:val="1"/>
    </w:pPr>
    <w:rPr>
      <w:rFonts w:ascii="Microsoft JhengHei" w:cs="Microsoft JhengHei" w:eastAsia="Microsoft JhengHei" w:hAnsi="Microsoft JhengHei"/>
      <w:b/>
      <w:bCs/>
      <w:color w:val="2E5496"/>
      <w:sz w:val="23"/>
      <w:szCs w:val="23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2026-07-15T10:45:22.465Z</dcterms:created>
  <dcterms:modified xsi:type="dcterms:W3CDTF">2026-07-15T10:45:22.473Z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