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90CD6" w14:textId="42C5A31B" w:rsidR="005A1B58" w:rsidRDefault="004172BD">
      <w:pPr>
        <w:rPr>
          <w:rFonts w:asciiTheme="minorEastAsia" w:eastAsiaTheme="minorEastAsia" w:hAnsiTheme="minor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***</w:t>
      </w:r>
      <w:r w:rsidR="00472902" w:rsidRPr="00472902">
        <w:rPr>
          <w:rFonts w:asciiTheme="minorEastAsia" w:eastAsiaTheme="minorEastAsia" w:hAnsiTheme="minorEastAsia" w:hint="eastAsia"/>
          <w:sz w:val="24"/>
          <w:szCs w:val="28"/>
          <w:lang w:eastAsia="zh-TW"/>
        </w:rPr>
        <w:t>控制點</w:t>
      </w:r>
      <w:r w:rsidR="00472902">
        <w:rPr>
          <w:rFonts w:asciiTheme="minorEastAsia" w:eastAsiaTheme="minorEastAsia" w:hAnsiTheme="minorEastAsia" w:hint="eastAsia"/>
          <w:sz w:val="24"/>
          <w:szCs w:val="28"/>
          <w:lang w:eastAsia="zh-TW"/>
        </w:rPr>
        <w:t>篩選結果為所有軍購案</w:t>
      </w:r>
      <w:r w:rsidR="006658DC">
        <w:rPr>
          <w:rFonts w:asciiTheme="minorEastAsia" w:eastAsiaTheme="minorEastAsia" w:hAnsiTheme="minorEastAsia" w:hint="eastAsia"/>
          <w:sz w:val="24"/>
          <w:szCs w:val="28"/>
          <w:lang w:eastAsia="zh-TW"/>
        </w:rPr>
        <w:t>風險分數</w:t>
      </w:r>
      <w:r w:rsidR="00472902">
        <w:rPr>
          <w:rFonts w:asciiTheme="minorEastAsia" w:eastAsiaTheme="minorEastAsia" w:hAnsiTheme="minorEastAsia" w:hint="eastAsia"/>
          <w:sz w:val="24"/>
          <w:szCs w:val="28"/>
          <w:lang w:eastAsia="zh-TW"/>
        </w:rPr>
        <w:t>評分的標準</w:t>
      </w: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***</w:t>
      </w:r>
    </w:p>
    <w:p w14:paraId="649A2BAF" w14:textId="54D792E5" w:rsidR="004172BD" w:rsidRDefault="004172BD">
      <w:pPr>
        <w:rPr>
          <w:rFonts w:asciiTheme="minorEastAsia" w:eastAsiaTheme="minorEastAsia" w:hAnsiTheme="minor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規則與概述：</w:t>
      </w:r>
    </w:p>
    <w:p w14:paraId="4FA5FE79" w14:textId="51ECD8D6" w:rsidR="006E24C0" w:rsidRDefault="006E24C0">
      <w:pPr>
        <w:rPr>
          <w:rFonts w:asciiTheme="minorEastAsia" w:eastAsiaTheme="minorEastAsia" w:hAnsiTheme="minor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每個控制點分析項目內，對命中的軍購案進行排序，再依排序先後進行評分，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從1.00~10.00進行評分（接受非整數評分）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。未命中的軍購案，該控制點評分則得0分。</w:t>
      </w:r>
    </w:p>
    <w:p w14:paraId="03FE7568" w14:textId="0548A9C8" w:rsidR="006658DC" w:rsidRDefault="006658DC">
      <w:pPr>
        <w:rPr>
          <w:rFonts w:asciiTheme="minorEastAsia" w:eastAsiaTheme="minorEastAsia" w:hAnsiTheme="minor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風險分數越高，代表此軍購案有問題機率越大。</w:t>
      </w:r>
    </w:p>
    <w:p w14:paraId="4774E98E" w14:textId="48D759AB" w:rsidR="004172BD" w:rsidRDefault="004172BD">
      <w:pPr>
        <w:rPr>
          <w:rFonts w:asciiTheme="minorEastAsia" w:eastAsiaTheme="minorEastAsia" w:hAnsiTheme="minorEastAsia"/>
          <w:color w:val="auto"/>
          <w:sz w:val="24"/>
          <w:szCs w:val="32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同一個控制點篩選出來的案件，進行評分時，接受獲得相同的分數，以</w:t>
      </w:r>
      <w:r w:rsidRPr="00472902">
        <w:rPr>
          <w:rFonts w:asciiTheme="minorEastAsia" w:eastAsiaTheme="minorEastAsia" w:hAnsiTheme="minorEastAsia"/>
          <w:color w:val="auto"/>
          <w:sz w:val="24"/>
          <w:szCs w:val="32"/>
          <w:lang w:eastAsia="zh-TW"/>
        </w:rPr>
        <w:t>軍投1-2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「</w:t>
      </w:r>
      <w:r w:rsidRPr="004172BD"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累計交運率未達</w:t>
      </w:r>
      <w:r w:rsidRPr="004172BD">
        <w:rPr>
          <w:rFonts w:asciiTheme="minorEastAsia" w:eastAsiaTheme="minorEastAsia" w:hAnsiTheme="minorEastAsia"/>
          <w:color w:val="auto"/>
          <w:sz w:val="24"/>
          <w:szCs w:val="32"/>
          <w:lang w:eastAsia="zh-TW"/>
        </w:rPr>
        <w:t xml:space="preserve"> 50％（不含 0）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為例，若命中案件中有3個案件</w:t>
      </w:r>
      <w:r w:rsidRPr="004172BD"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累計交運率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皆為46％，則它們的得分都相同。</w:t>
      </w:r>
    </w:p>
    <w:p w14:paraId="0897C12D" w14:textId="53AE754F" w:rsidR="004172BD" w:rsidRPr="004172BD" w:rsidRDefault="004172BD">
      <w:pP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最後所有的軍購案都會有一個風險分數總分，範圍為0.00~100.00，所有控制點皆</w:t>
      </w:r>
      <w:r w:rsidR="006E24C0"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沒</w:t>
      </w:r>
      <w:r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命中的軍購案，即獲得0分</w:t>
      </w:r>
      <w:r w:rsidR="006E24C0">
        <w:rPr>
          <w:rFonts w:asciiTheme="minorEastAsia" w:eastAsiaTheme="minorEastAsia" w:hAnsiTheme="minorEastAsia" w:hint="eastAsia"/>
          <w:color w:val="auto"/>
          <w:sz w:val="24"/>
          <w:szCs w:val="32"/>
          <w:lang w:eastAsia="zh-TW"/>
        </w:rPr>
        <w:t>。</w:t>
      </w:r>
    </w:p>
    <w:p w14:paraId="34D40C53" w14:textId="77777777" w:rsidR="004172BD" w:rsidRDefault="004172BD">
      <w:pPr>
        <w:rPr>
          <w:rFonts w:asciiTheme="minorEastAsia" w:eastAsiaTheme="minorEastAsia" w:hAnsiTheme="minorEastAsia" w:hint="eastAsia"/>
          <w:sz w:val="24"/>
          <w:szCs w:val="28"/>
          <w:lang w:eastAsia="zh-TW"/>
        </w:rPr>
      </w:pPr>
    </w:p>
    <w:p w14:paraId="7201F046" w14:textId="246E7AE7" w:rsidR="006658DC" w:rsidRPr="00472902" w:rsidRDefault="004172BD">
      <w:pPr>
        <w:rPr>
          <w:rFonts w:asciiTheme="minorEastAsia" w:eastAsiaTheme="minorEastAsia" w:hAnsiTheme="minorEastAsia" w:hint="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軍投類（含特別預算）評分標準：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3"/>
        <w:gridCol w:w="2057"/>
        <w:gridCol w:w="2138"/>
        <w:gridCol w:w="2409"/>
      </w:tblGrid>
      <w:tr w:rsidR="0045763E" w:rsidRPr="00472902" w14:paraId="359EE2B0" w14:textId="0CD1FD99" w:rsidTr="004172BD">
        <w:trPr>
          <w:tblHeader/>
        </w:trPr>
        <w:tc>
          <w:tcPr>
            <w:tcW w:w="1159" w:type="dxa"/>
            <w:shd w:val="clear" w:color="auto" w:fill="auto"/>
          </w:tcPr>
          <w:p w14:paraId="6DDF13D8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編號</w:t>
            </w:r>
          </w:p>
        </w:tc>
        <w:tc>
          <w:tcPr>
            <w:tcW w:w="2693" w:type="dxa"/>
            <w:shd w:val="clear" w:color="auto" w:fill="auto"/>
          </w:tcPr>
          <w:p w14:paraId="22092E72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分析項目名稱</w:t>
            </w:r>
          </w:p>
        </w:tc>
        <w:tc>
          <w:tcPr>
            <w:tcW w:w="2057" w:type="dxa"/>
            <w:shd w:val="clear" w:color="auto" w:fill="auto"/>
          </w:tcPr>
          <w:p w14:paraId="55479152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風險意涵</w:t>
            </w:r>
          </w:p>
        </w:tc>
        <w:tc>
          <w:tcPr>
            <w:tcW w:w="2138" w:type="dxa"/>
          </w:tcPr>
          <w:p w14:paraId="284908C6" w14:textId="73B9FFEE" w:rsidR="0045763E" w:rsidRDefault="0045763E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  <w:t>風險類別</w:t>
            </w:r>
          </w:p>
        </w:tc>
        <w:tc>
          <w:tcPr>
            <w:tcW w:w="2409" w:type="dxa"/>
          </w:tcPr>
          <w:p w14:paraId="6EFA83E9" w14:textId="42F41150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  <w:t>評分標準</w:t>
            </w:r>
          </w:p>
        </w:tc>
      </w:tr>
      <w:tr w:rsidR="0045763E" w:rsidRPr="00472902" w14:paraId="06F82912" w14:textId="1BA37DBA" w:rsidTr="0045763E">
        <w:tc>
          <w:tcPr>
            <w:tcW w:w="1159" w:type="dxa"/>
            <w:shd w:val="clear" w:color="auto" w:fill="auto"/>
          </w:tcPr>
          <w:p w14:paraId="2B6B42FF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1-1</w:t>
            </w:r>
          </w:p>
        </w:tc>
        <w:tc>
          <w:tcPr>
            <w:tcW w:w="2693" w:type="dxa"/>
            <w:shd w:val="clear" w:color="auto" w:fill="auto"/>
          </w:tcPr>
          <w:p w14:paraId="4CF5E7EF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交運值為 0</w:t>
            </w:r>
          </w:p>
        </w:tc>
        <w:tc>
          <w:tcPr>
            <w:tcW w:w="2057" w:type="dxa"/>
            <w:shd w:val="clear" w:color="auto" w:fill="auto"/>
          </w:tcPr>
          <w:p w14:paraId="10CF979D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完全未交貨</w:t>
            </w:r>
          </w:p>
        </w:tc>
        <w:tc>
          <w:tcPr>
            <w:tcW w:w="2138" w:type="dxa"/>
          </w:tcPr>
          <w:p w14:paraId="4B440B23" w14:textId="34E84ADF" w:rsidR="0045763E" w:rsidRDefault="0045763E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6A1B1A9D" w14:textId="14E25E30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篩選命中的案件，得10分。</w:t>
            </w:r>
          </w:p>
        </w:tc>
      </w:tr>
      <w:tr w:rsidR="0045763E" w:rsidRPr="00472902" w14:paraId="1D66E6B3" w14:textId="2CD8F545" w:rsidTr="0045763E">
        <w:tc>
          <w:tcPr>
            <w:tcW w:w="1159" w:type="dxa"/>
            <w:shd w:val="clear" w:color="auto" w:fill="auto"/>
          </w:tcPr>
          <w:p w14:paraId="794C5281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1-2</w:t>
            </w:r>
          </w:p>
        </w:tc>
        <w:tc>
          <w:tcPr>
            <w:tcW w:w="2693" w:type="dxa"/>
            <w:shd w:val="clear" w:color="auto" w:fill="auto"/>
          </w:tcPr>
          <w:p w14:paraId="00061D32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累計交運率未達 50％（不含 0）</w:t>
            </w:r>
          </w:p>
        </w:tc>
        <w:tc>
          <w:tcPr>
            <w:tcW w:w="2057" w:type="dxa"/>
            <w:shd w:val="clear" w:color="auto" w:fill="auto"/>
          </w:tcPr>
          <w:p w14:paraId="059AC43C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交貨落後</w:t>
            </w:r>
          </w:p>
        </w:tc>
        <w:tc>
          <w:tcPr>
            <w:tcW w:w="2138" w:type="dxa"/>
          </w:tcPr>
          <w:p w14:paraId="2BB91E46" w14:textId="3C1B9185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1A4611B0" w14:textId="0C6C244C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累計交運率未達50％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，從1.00~10.00進行評分（接受非整數評分），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越低，分數越高。</w:t>
            </w:r>
          </w:p>
        </w:tc>
      </w:tr>
      <w:tr w:rsidR="0045763E" w:rsidRPr="00472902" w14:paraId="3EC72157" w14:textId="0D215A91" w:rsidTr="0045763E">
        <w:tc>
          <w:tcPr>
            <w:tcW w:w="1159" w:type="dxa"/>
            <w:shd w:val="clear" w:color="auto" w:fill="auto"/>
          </w:tcPr>
          <w:p w14:paraId="0FAD2B4E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1-3</w:t>
            </w:r>
          </w:p>
        </w:tc>
        <w:tc>
          <w:tcPr>
            <w:tcW w:w="2693" w:type="dxa"/>
            <w:shd w:val="clear" w:color="auto" w:fill="auto"/>
          </w:tcPr>
          <w:p w14:paraId="0162FB2C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「累計交運值/發價值」與「累計結匯率」差異達 40％以上</w:t>
            </w:r>
          </w:p>
        </w:tc>
        <w:tc>
          <w:tcPr>
            <w:tcW w:w="2057" w:type="dxa"/>
            <w:shd w:val="clear" w:color="auto" w:fill="auto"/>
          </w:tcPr>
          <w:p w14:paraId="4D4A846D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交運進度落後付款進度</w:t>
            </w:r>
          </w:p>
        </w:tc>
        <w:tc>
          <w:tcPr>
            <w:tcW w:w="2138" w:type="dxa"/>
          </w:tcPr>
          <w:p w14:paraId="4967E3D8" w14:textId="08AA6892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539C270B" w14:textId="77CB32C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「累計交運值/發價值」與「累計結匯率」差異達40％以上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從1.00~10.00進行評分（接受非整數評分），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差異越大，分數越高。</w:t>
            </w:r>
          </w:p>
        </w:tc>
      </w:tr>
      <w:tr w:rsidR="0045763E" w:rsidRPr="00472902" w14:paraId="65346D91" w14:textId="2892BDF2" w:rsidTr="0045763E">
        <w:tc>
          <w:tcPr>
            <w:tcW w:w="1159" w:type="dxa"/>
            <w:shd w:val="clear" w:color="auto" w:fill="auto"/>
          </w:tcPr>
          <w:p w14:paraId="7856E071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1-4</w:t>
            </w:r>
          </w:p>
        </w:tc>
        <w:tc>
          <w:tcPr>
            <w:tcW w:w="2693" w:type="dxa"/>
            <w:shd w:val="clear" w:color="auto" w:fill="auto"/>
          </w:tcPr>
          <w:p w14:paraId="37ED4716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「累計交運值/發價值」與「累計結匯率」差異未達 40％，且軍購備查帳餘額達 3,000 萬美元以上</w:t>
            </w:r>
          </w:p>
        </w:tc>
        <w:tc>
          <w:tcPr>
            <w:tcW w:w="2057" w:type="dxa"/>
            <w:shd w:val="clear" w:color="auto" w:fill="auto"/>
          </w:tcPr>
          <w:p w14:paraId="24CCF089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在途物資（滯美資金）重大</w:t>
            </w:r>
          </w:p>
        </w:tc>
        <w:tc>
          <w:tcPr>
            <w:tcW w:w="2138" w:type="dxa"/>
          </w:tcPr>
          <w:p w14:paraId="632C394D" w14:textId="0C7A66EF" w:rsidR="0045763E" w:rsidRDefault="0045763E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208DA470" w14:textId="319CB082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45763E" w:rsidRPr="00472902" w14:paraId="14204A93" w14:textId="74EA2703" w:rsidTr="0045763E">
        <w:tc>
          <w:tcPr>
            <w:tcW w:w="1159" w:type="dxa"/>
            <w:shd w:val="clear" w:color="auto" w:fill="auto"/>
          </w:tcPr>
          <w:p w14:paraId="275C3D8D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1-5</w:t>
            </w:r>
          </w:p>
        </w:tc>
        <w:tc>
          <w:tcPr>
            <w:tcW w:w="2693" w:type="dxa"/>
            <w:shd w:val="clear" w:color="auto" w:fill="auto"/>
          </w:tcPr>
          <w:p w14:paraId="18B216F4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「累計交運值」與「累計結匯值減去 FRB 餘額」之比率低於 10％，且二者差異金額大於 1 億美元</w:t>
            </w:r>
          </w:p>
        </w:tc>
        <w:tc>
          <w:tcPr>
            <w:tcW w:w="2057" w:type="dxa"/>
            <w:shd w:val="clear" w:color="auto" w:fill="auto"/>
          </w:tcPr>
          <w:p w14:paraId="0327421F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提領未交，履約異常（風險最高）</w:t>
            </w:r>
          </w:p>
        </w:tc>
        <w:tc>
          <w:tcPr>
            <w:tcW w:w="2138" w:type="dxa"/>
          </w:tcPr>
          <w:p w14:paraId="1E146364" w14:textId="4ECB93A6" w:rsidR="0045763E" w:rsidRDefault="0045763E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55E7A57C" w14:textId="329F232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45763E" w:rsidRPr="00472902" w14:paraId="6A172F5C" w14:textId="32C46894" w:rsidTr="0045763E">
        <w:tc>
          <w:tcPr>
            <w:tcW w:w="1159" w:type="dxa"/>
            <w:shd w:val="clear" w:color="auto" w:fill="auto"/>
          </w:tcPr>
          <w:p w14:paraId="35D99C6F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1-6</w:t>
            </w:r>
          </w:p>
        </w:tc>
        <w:tc>
          <w:tcPr>
            <w:tcW w:w="2693" w:type="dxa"/>
            <w:shd w:val="clear" w:color="auto" w:fill="auto"/>
          </w:tcPr>
          <w:p w14:paraId="78530D30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結匯率超過 100％</w:t>
            </w:r>
          </w:p>
        </w:tc>
        <w:tc>
          <w:tcPr>
            <w:tcW w:w="2057" w:type="dxa"/>
            <w:shd w:val="clear" w:color="auto" w:fill="auto"/>
          </w:tcPr>
          <w:p w14:paraId="252DD37D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溢付、帳務異常</w:t>
            </w:r>
          </w:p>
        </w:tc>
        <w:tc>
          <w:tcPr>
            <w:tcW w:w="2138" w:type="dxa"/>
          </w:tcPr>
          <w:p w14:paraId="193E73A6" w14:textId="7D0359C4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財務風險</w:t>
            </w:r>
          </w:p>
        </w:tc>
        <w:tc>
          <w:tcPr>
            <w:tcW w:w="2409" w:type="dxa"/>
          </w:tcPr>
          <w:p w14:paraId="33ECCA23" w14:textId="0F35AD1A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結匯率超過100％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從1.00~10.00進行評分（接受非整數評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lastRenderedPageBreak/>
              <w:t>分），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結匯率越高，分數越高。</w:t>
            </w:r>
          </w:p>
        </w:tc>
      </w:tr>
      <w:tr w:rsidR="0045763E" w:rsidRPr="00472902" w14:paraId="4A798B7B" w14:textId="1E13686C" w:rsidTr="0045763E">
        <w:tc>
          <w:tcPr>
            <w:tcW w:w="1159" w:type="dxa"/>
            <w:shd w:val="clear" w:color="auto" w:fill="auto"/>
          </w:tcPr>
          <w:p w14:paraId="1680CB2B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lastRenderedPageBreak/>
              <w:t>軍投 1-7</w:t>
            </w:r>
          </w:p>
        </w:tc>
        <w:tc>
          <w:tcPr>
            <w:tcW w:w="2693" w:type="dxa"/>
            <w:shd w:val="clear" w:color="auto" w:fill="auto"/>
          </w:tcPr>
          <w:p w14:paraId="65FEF5EE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 餘額占累計結匯值比率達 40％以上</w:t>
            </w:r>
          </w:p>
        </w:tc>
        <w:tc>
          <w:tcPr>
            <w:tcW w:w="2057" w:type="dxa"/>
            <w:shd w:val="clear" w:color="auto" w:fill="auto"/>
          </w:tcPr>
          <w:p w14:paraId="012D85FA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結匯滯留，款項閒置於 FRB</w:t>
            </w:r>
          </w:p>
        </w:tc>
        <w:tc>
          <w:tcPr>
            <w:tcW w:w="2138" w:type="dxa"/>
          </w:tcPr>
          <w:p w14:paraId="455EBEA8" w14:textId="2A4A39CF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財務風險</w:t>
            </w:r>
          </w:p>
        </w:tc>
        <w:tc>
          <w:tcPr>
            <w:tcW w:w="2409" w:type="dxa"/>
          </w:tcPr>
          <w:p w14:paraId="6999CA8D" w14:textId="0BE7596F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FRB餘額占累計結匯值比率達40％以上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從1.00~10.00進行評分（接受非整數評分）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FRB餘額占累計結匯值比率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越高，分數越高。</w:t>
            </w:r>
          </w:p>
        </w:tc>
      </w:tr>
      <w:tr w:rsidR="0045763E" w:rsidRPr="00472902" w14:paraId="7D688CB7" w14:textId="4BFC82D3" w:rsidTr="0045763E">
        <w:tc>
          <w:tcPr>
            <w:tcW w:w="1159" w:type="dxa"/>
            <w:shd w:val="clear" w:color="auto" w:fill="auto"/>
          </w:tcPr>
          <w:p w14:paraId="33E8C859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1-8</w:t>
            </w:r>
          </w:p>
        </w:tc>
        <w:tc>
          <w:tcPr>
            <w:tcW w:w="2693" w:type="dxa"/>
            <w:shd w:val="clear" w:color="auto" w:fill="auto"/>
          </w:tcPr>
          <w:p w14:paraId="045ADB66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 餘額占累計結匯值比率未達 40％，且 FRB 餘額達 3,000 萬美元以上</w:t>
            </w:r>
          </w:p>
        </w:tc>
        <w:tc>
          <w:tcPr>
            <w:tcW w:w="2057" w:type="dxa"/>
            <w:shd w:val="clear" w:color="auto" w:fill="auto"/>
          </w:tcPr>
          <w:p w14:paraId="2C9F7C19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FRB 餘額金額重大</w:t>
            </w:r>
          </w:p>
        </w:tc>
        <w:tc>
          <w:tcPr>
            <w:tcW w:w="2138" w:type="dxa"/>
          </w:tcPr>
          <w:p w14:paraId="48189DDB" w14:textId="7C989409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財務風險</w:t>
            </w:r>
          </w:p>
        </w:tc>
        <w:tc>
          <w:tcPr>
            <w:tcW w:w="2409" w:type="dxa"/>
          </w:tcPr>
          <w:p w14:paraId="3133BF4E" w14:textId="7DB90CB1" w:rsidR="0045763E" w:rsidRPr="00472902" w:rsidRDefault="004172BD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45763E" w:rsidRPr="00472902" w14:paraId="61F49513" w14:textId="293EE755" w:rsidTr="0045763E">
        <w:tc>
          <w:tcPr>
            <w:tcW w:w="1159" w:type="dxa"/>
            <w:shd w:val="clear" w:color="auto" w:fill="auto"/>
          </w:tcPr>
          <w:p w14:paraId="2EEB4D2E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1-9</w:t>
            </w:r>
          </w:p>
        </w:tc>
        <w:tc>
          <w:tcPr>
            <w:tcW w:w="2693" w:type="dxa"/>
            <w:shd w:val="clear" w:color="auto" w:fill="auto"/>
          </w:tcPr>
          <w:p w14:paraId="13FCAB90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待平衡支付值大於 0（欠款案件）</w:t>
            </w:r>
          </w:p>
        </w:tc>
        <w:tc>
          <w:tcPr>
            <w:tcW w:w="2057" w:type="dxa"/>
            <w:shd w:val="clear" w:color="auto" w:fill="auto"/>
          </w:tcPr>
          <w:p w14:paraId="5F4E8296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我方欠款案件</w:t>
            </w:r>
          </w:p>
        </w:tc>
        <w:tc>
          <w:tcPr>
            <w:tcW w:w="2138" w:type="dxa"/>
          </w:tcPr>
          <w:p w14:paraId="2DF52BD9" w14:textId="0474154F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財務風險</w:t>
            </w:r>
          </w:p>
        </w:tc>
        <w:tc>
          <w:tcPr>
            <w:tcW w:w="2409" w:type="dxa"/>
          </w:tcPr>
          <w:p w14:paraId="6D3D731B" w14:textId="049A5F5E" w:rsidR="0045763E" w:rsidRPr="00472902" w:rsidRDefault="004172BD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待平衡支付值大於0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從1.00~10.00進行評分（接受非整數評分），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待平衡支付值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越高，分數越高。</w:t>
            </w:r>
          </w:p>
        </w:tc>
      </w:tr>
      <w:tr w:rsidR="0045763E" w:rsidRPr="00472902" w14:paraId="3FEF4C3F" w14:textId="6975BABB" w:rsidTr="0045763E">
        <w:tc>
          <w:tcPr>
            <w:tcW w:w="1159" w:type="dxa"/>
            <w:shd w:val="clear" w:color="auto" w:fill="auto"/>
          </w:tcPr>
          <w:p w14:paraId="7F07D8E8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  <w:t>軍投 1-10</w:t>
            </w:r>
          </w:p>
        </w:tc>
        <w:tc>
          <w:tcPr>
            <w:tcW w:w="2693" w:type="dxa"/>
            <w:shd w:val="clear" w:color="auto" w:fill="auto"/>
          </w:tcPr>
          <w:p w14:paraId="6B1948C5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累計結匯率達 90％，且累計交運率未達 50％</w:t>
            </w:r>
          </w:p>
        </w:tc>
        <w:tc>
          <w:tcPr>
            <w:tcW w:w="2057" w:type="dxa"/>
            <w:shd w:val="clear" w:color="auto" w:fill="auto"/>
          </w:tcPr>
          <w:p w14:paraId="44099D96" w14:textId="77777777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結匯近全額而交運未過半</w:t>
            </w:r>
          </w:p>
        </w:tc>
        <w:tc>
          <w:tcPr>
            <w:tcW w:w="2138" w:type="dxa"/>
          </w:tcPr>
          <w:p w14:paraId="5DD42F32" w14:textId="5747E2D4" w:rsidR="0045763E" w:rsidRPr="00472902" w:rsidRDefault="0045763E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執行風險</w:t>
            </w:r>
          </w:p>
        </w:tc>
        <w:tc>
          <w:tcPr>
            <w:tcW w:w="2409" w:type="dxa"/>
          </w:tcPr>
          <w:p w14:paraId="648995BC" w14:textId="37209C5E" w:rsidR="0045763E" w:rsidRPr="00472902" w:rsidRDefault="006E24C0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累計結匯率達 90％，且累計交運率未達 50％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，命中者當中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，從1.00~10.00進行評分（接受非整數評分）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與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差距越大，得分越高。</w:t>
            </w:r>
          </w:p>
        </w:tc>
      </w:tr>
    </w:tbl>
    <w:p w14:paraId="45191247" w14:textId="04DA73B7" w:rsidR="00472902" w:rsidRDefault="00472902">
      <w:pPr>
        <w:rPr>
          <w:rFonts w:asciiTheme="minorEastAsia" w:eastAsiaTheme="minorEastAsia" w:hAnsiTheme="minorEastAsia"/>
          <w:sz w:val="24"/>
          <w:szCs w:val="28"/>
          <w:lang w:eastAsia="zh-TW"/>
        </w:rPr>
      </w:pPr>
    </w:p>
    <w:p w14:paraId="4E93D027" w14:textId="78F1A225" w:rsidR="005C00AD" w:rsidRPr="00472902" w:rsidRDefault="009F751B" w:rsidP="005C00AD">
      <w:pPr>
        <w:rPr>
          <w:rFonts w:asciiTheme="minorEastAsia" w:eastAsiaTheme="minorEastAsia" w:hAnsiTheme="minorEastAsia" w:hint="eastAsia"/>
          <w:sz w:val="24"/>
          <w:szCs w:val="28"/>
          <w:lang w:eastAsia="zh-TW"/>
        </w:rPr>
      </w:pPr>
      <w:r>
        <w:rPr>
          <w:rFonts w:asciiTheme="minorEastAsia" w:eastAsiaTheme="minorEastAsia" w:hAnsiTheme="minorEastAsia" w:hint="eastAsia"/>
          <w:sz w:val="24"/>
          <w:szCs w:val="28"/>
          <w:lang w:eastAsia="zh-TW"/>
        </w:rPr>
        <w:t>作維</w:t>
      </w:r>
      <w:r w:rsidR="005C00AD">
        <w:rPr>
          <w:rFonts w:asciiTheme="minorEastAsia" w:eastAsiaTheme="minorEastAsia" w:hAnsiTheme="minorEastAsia" w:hint="eastAsia"/>
          <w:sz w:val="24"/>
          <w:szCs w:val="28"/>
          <w:lang w:eastAsia="zh-TW"/>
        </w:rPr>
        <w:t>類評分標準：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2693"/>
        <w:gridCol w:w="2057"/>
        <w:gridCol w:w="2138"/>
        <w:gridCol w:w="2409"/>
      </w:tblGrid>
      <w:tr w:rsidR="005C00AD" w:rsidRPr="00472902" w14:paraId="4D0EF0B2" w14:textId="77777777" w:rsidTr="00D40C23">
        <w:trPr>
          <w:tblHeader/>
        </w:trPr>
        <w:tc>
          <w:tcPr>
            <w:tcW w:w="1159" w:type="dxa"/>
            <w:shd w:val="clear" w:color="auto" w:fill="auto"/>
          </w:tcPr>
          <w:p w14:paraId="19FD37F6" w14:textId="77777777" w:rsidR="005C00AD" w:rsidRPr="00472902" w:rsidRDefault="005C00AD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編號</w:t>
            </w:r>
          </w:p>
        </w:tc>
        <w:tc>
          <w:tcPr>
            <w:tcW w:w="2693" w:type="dxa"/>
            <w:shd w:val="clear" w:color="auto" w:fill="auto"/>
          </w:tcPr>
          <w:p w14:paraId="225892AA" w14:textId="77777777" w:rsidR="005C00AD" w:rsidRPr="00472902" w:rsidRDefault="005C00AD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分析項目名稱</w:t>
            </w:r>
          </w:p>
        </w:tc>
        <w:tc>
          <w:tcPr>
            <w:tcW w:w="2057" w:type="dxa"/>
            <w:shd w:val="clear" w:color="auto" w:fill="auto"/>
          </w:tcPr>
          <w:p w14:paraId="3AFF435F" w14:textId="77777777" w:rsidR="005C00AD" w:rsidRPr="00472902" w:rsidRDefault="005C00AD" w:rsidP="00D40C23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</w:rPr>
            </w:pPr>
            <w:r w:rsidRPr="00472902"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  <w:t>風險意涵</w:t>
            </w:r>
          </w:p>
        </w:tc>
        <w:tc>
          <w:tcPr>
            <w:tcW w:w="2138" w:type="dxa"/>
          </w:tcPr>
          <w:p w14:paraId="6DC87584" w14:textId="77777777" w:rsidR="005C00AD" w:rsidRDefault="005C00AD" w:rsidP="00D40C23">
            <w:pPr>
              <w:spacing w:after="0" w:line="360" w:lineRule="exact"/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  <w:t>風險類別</w:t>
            </w:r>
          </w:p>
        </w:tc>
        <w:tc>
          <w:tcPr>
            <w:tcW w:w="2409" w:type="dxa"/>
          </w:tcPr>
          <w:p w14:paraId="3E513945" w14:textId="77777777" w:rsidR="005C00AD" w:rsidRPr="00472902" w:rsidRDefault="005C00AD" w:rsidP="00D40C23">
            <w:pPr>
              <w:spacing w:after="0" w:line="360" w:lineRule="exact"/>
              <w:rPr>
                <w:rFonts w:asciiTheme="minorEastAsia" w:eastAsiaTheme="minorEastAsia" w:hAnsiTheme="minorEastAsia"/>
                <w:b/>
                <w:color w:val="auto"/>
                <w:sz w:val="24"/>
                <w:szCs w:val="32"/>
              </w:rPr>
            </w:pPr>
            <w:r>
              <w:rPr>
                <w:rFonts w:asciiTheme="minorEastAsia" w:eastAsiaTheme="minorEastAsia" w:hAnsiTheme="minorEastAsia" w:hint="eastAsia"/>
                <w:b/>
                <w:color w:val="auto"/>
                <w:sz w:val="24"/>
                <w:szCs w:val="32"/>
                <w:lang w:eastAsia="zh-TW"/>
              </w:rPr>
              <w:t>評分標準</w:t>
            </w:r>
          </w:p>
        </w:tc>
      </w:tr>
      <w:tr w:rsidR="005C00AD" w:rsidRPr="00472902" w14:paraId="5A481224" w14:textId="77777777" w:rsidTr="00D40C23">
        <w:tc>
          <w:tcPr>
            <w:tcW w:w="1159" w:type="dxa"/>
            <w:shd w:val="clear" w:color="auto" w:fill="auto"/>
          </w:tcPr>
          <w:p w14:paraId="5134B454" w14:textId="0ADF117A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2-1</w:t>
            </w:r>
          </w:p>
        </w:tc>
        <w:tc>
          <w:tcPr>
            <w:tcW w:w="2693" w:type="dxa"/>
            <w:shd w:val="clear" w:color="auto" w:fill="auto"/>
          </w:tcPr>
          <w:p w14:paraId="6DF6E848" w14:textId="796DC89A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交運值為 0，結匯值 300 萬美元以上</w:t>
            </w:r>
          </w:p>
        </w:tc>
        <w:tc>
          <w:tcPr>
            <w:tcW w:w="2057" w:type="dxa"/>
            <w:shd w:val="clear" w:color="auto" w:fill="auto"/>
          </w:tcPr>
          <w:p w14:paraId="343A1655" w14:textId="6CAC9ECF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未交貨（排除小額）</w:t>
            </w:r>
          </w:p>
        </w:tc>
        <w:tc>
          <w:tcPr>
            <w:tcW w:w="2138" w:type="dxa"/>
          </w:tcPr>
          <w:p w14:paraId="33777E3E" w14:textId="5369DB90" w:rsidR="005C00AD" w:rsidRDefault="005C00AD" w:rsidP="005C00AD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0A32CF51" w14:textId="590CC31D" w:rsidR="005C00AD" w:rsidRPr="00472902" w:rsidRDefault="0054336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篩選命中的案件，得10分。</w:t>
            </w:r>
          </w:p>
        </w:tc>
      </w:tr>
      <w:tr w:rsidR="005C00AD" w:rsidRPr="00472902" w14:paraId="20D540CD" w14:textId="77777777" w:rsidTr="00D40C23">
        <w:tc>
          <w:tcPr>
            <w:tcW w:w="1159" w:type="dxa"/>
            <w:shd w:val="clear" w:color="auto" w:fill="auto"/>
          </w:tcPr>
          <w:p w14:paraId="19ECE65E" w14:textId="28230A4F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2-2</w:t>
            </w:r>
          </w:p>
        </w:tc>
        <w:tc>
          <w:tcPr>
            <w:tcW w:w="2693" w:type="dxa"/>
            <w:shd w:val="clear" w:color="auto" w:fill="auto"/>
          </w:tcPr>
          <w:p w14:paraId="304E5E38" w14:textId="72190C97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累計交運率未達 50％（不含 0），且軍購備查帳餘額達 3,000 萬美元以上</w:t>
            </w:r>
          </w:p>
        </w:tc>
        <w:tc>
          <w:tcPr>
            <w:tcW w:w="2057" w:type="dxa"/>
            <w:shd w:val="clear" w:color="auto" w:fill="auto"/>
          </w:tcPr>
          <w:p w14:paraId="49815B6A" w14:textId="47C361C0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交貨落後且在途重大</w:t>
            </w:r>
          </w:p>
        </w:tc>
        <w:tc>
          <w:tcPr>
            <w:tcW w:w="2138" w:type="dxa"/>
          </w:tcPr>
          <w:p w14:paraId="029CDFE2" w14:textId="1F9191DD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57458391" w14:textId="191D4F14" w:rsidR="005C00AD" w:rsidRPr="00472902" w:rsidRDefault="0054336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C00AD" w:rsidRPr="00472902" w14:paraId="3D40B005" w14:textId="77777777" w:rsidTr="00D40C23">
        <w:tc>
          <w:tcPr>
            <w:tcW w:w="1159" w:type="dxa"/>
            <w:shd w:val="clear" w:color="auto" w:fill="auto"/>
          </w:tcPr>
          <w:p w14:paraId="3023AAE7" w14:textId="1EC068EF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2-3</w:t>
            </w:r>
          </w:p>
        </w:tc>
        <w:tc>
          <w:tcPr>
            <w:tcW w:w="2693" w:type="dxa"/>
            <w:shd w:val="clear" w:color="auto" w:fill="auto"/>
          </w:tcPr>
          <w:p w14:paraId="63601CC2" w14:textId="7971D468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「累計交運值/發價值」與「累計結匯率」差異達 50％以上，且軍購備查帳餘額 300 萬美元以上</w:t>
            </w:r>
          </w:p>
        </w:tc>
        <w:tc>
          <w:tcPr>
            <w:tcW w:w="2057" w:type="dxa"/>
            <w:shd w:val="clear" w:color="auto" w:fill="auto"/>
          </w:tcPr>
          <w:p w14:paraId="793C2B32" w14:textId="4453B653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進度落差異常</w:t>
            </w:r>
          </w:p>
        </w:tc>
        <w:tc>
          <w:tcPr>
            <w:tcW w:w="2138" w:type="dxa"/>
          </w:tcPr>
          <w:p w14:paraId="14520C83" w14:textId="3B998911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2AB6AE12" w14:textId="146F7362" w:rsidR="005C00AD" w:rsidRPr="00472902" w:rsidRDefault="0054336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C00AD" w:rsidRPr="00472902" w14:paraId="429DEDF4" w14:textId="77777777" w:rsidTr="00D40C23">
        <w:tc>
          <w:tcPr>
            <w:tcW w:w="1159" w:type="dxa"/>
            <w:shd w:val="clear" w:color="auto" w:fill="auto"/>
          </w:tcPr>
          <w:p w14:paraId="75AD9498" w14:textId="6F9880BB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lastRenderedPageBreak/>
              <w:t>作維 2-4</w:t>
            </w:r>
          </w:p>
        </w:tc>
        <w:tc>
          <w:tcPr>
            <w:tcW w:w="2693" w:type="dxa"/>
            <w:shd w:val="clear" w:color="auto" w:fill="auto"/>
          </w:tcPr>
          <w:p w14:paraId="1F2A70D3" w14:textId="41C9C48A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「累計交運值/發價值」與「累計結匯率」差異未達 50％，且軍購備查帳餘額達 3,000 萬美元以上</w:t>
            </w:r>
          </w:p>
        </w:tc>
        <w:tc>
          <w:tcPr>
            <w:tcW w:w="2057" w:type="dxa"/>
            <w:shd w:val="clear" w:color="auto" w:fill="auto"/>
          </w:tcPr>
          <w:p w14:paraId="3A370DD1" w14:textId="47AEC678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在途物資重大</w:t>
            </w:r>
          </w:p>
        </w:tc>
        <w:tc>
          <w:tcPr>
            <w:tcW w:w="2138" w:type="dxa"/>
          </w:tcPr>
          <w:p w14:paraId="6D19E97C" w14:textId="16C59B41" w:rsidR="005C00AD" w:rsidRDefault="005C00AD" w:rsidP="005C00AD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161F1CBB" w14:textId="12AA2429" w:rsidR="005C00AD" w:rsidRPr="00472902" w:rsidRDefault="0054336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C00AD" w:rsidRPr="00472902" w14:paraId="227130FB" w14:textId="77777777" w:rsidTr="00D40C23">
        <w:tc>
          <w:tcPr>
            <w:tcW w:w="1159" w:type="dxa"/>
            <w:shd w:val="clear" w:color="auto" w:fill="auto"/>
          </w:tcPr>
          <w:p w14:paraId="3FBE7013" w14:textId="11B29DE1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2-5</w:t>
            </w:r>
          </w:p>
        </w:tc>
        <w:tc>
          <w:tcPr>
            <w:tcW w:w="2693" w:type="dxa"/>
            <w:shd w:val="clear" w:color="auto" w:fill="auto"/>
          </w:tcPr>
          <w:p w14:paraId="07DE58DB" w14:textId="48D7072A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「累計交運值」與「累計結匯值減去 FRB 餘額」之比率低於 10％，且二者差異金額大於 1,000 萬美元</w:t>
            </w:r>
          </w:p>
        </w:tc>
        <w:tc>
          <w:tcPr>
            <w:tcW w:w="2057" w:type="dxa"/>
            <w:shd w:val="clear" w:color="auto" w:fill="auto"/>
          </w:tcPr>
          <w:p w14:paraId="780375C3" w14:textId="72B63E6C" w:rsidR="005C00AD" w:rsidRPr="00472902" w:rsidRDefault="005C00A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提領未交，履約異常</w:t>
            </w:r>
          </w:p>
        </w:tc>
        <w:tc>
          <w:tcPr>
            <w:tcW w:w="2138" w:type="dxa"/>
          </w:tcPr>
          <w:p w14:paraId="37C9C07D" w14:textId="343939FF" w:rsidR="005C00AD" w:rsidRDefault="005C00AD" w:rsidP="005C00AD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51EA3E9F" w14:textId="2439FD28" w:rsidR="005C00AD" w:rsidRPr="00472902" w:rsidRDefault="0054336D" w:rsidP="005C00A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4336D" w:rsidRPr="00472902" w14:paraId="3C928D49" w14:textId="77777777" w:rsidTr="00D40C23">
        <w:tc>
          <w:tcPr>
            <w:tcW w:w="1159" w:type="dxa"/>
            <w:shd w:val="clear" w:color="auto" w:fill="auto"/>
          </w:tcPr>
          <w:p w14:paraId="6B70D124" w14:textId="28DED7D1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2-6</w:t>
            </w:r>
          </w:p>
        </w:tc>
        <w:tc>
          <w:tcPr>
            <w:tcW w:w="2693" w:type="dxa"/>
            <w:shd w:val="clear" w:color="auto" w:fill="auto"/>
          </w:tcPr>
          <w:p w14:paraId="6214489D" w14:textId="0878765C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結匯率超過 100％</w:t>
            </w:r>
          </w:p>
        </w:tc>
        <w:tc>
          <w:tcPr>
            <w:tcW w:w="2057" w:type="dxa"/>
            <w:shd w:val="clear" w:color="auto" w:fill="auto"/>
          </w:tcPr>
          <w:p w14:paraId="3F3296A9" w14:textId="02535672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溢付、帳務異常</w:t>
            </w:r>
          </w:p>
        </w:tc>
        <w:tc>
          <w:tcPr>
            <w:tcW w:w="2138" w:type="dxa"/>
          </w:tcPr>
          <w:p w14:paraId="12CAB341" w14:textId="587EC5F3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054B80A2" w14:textId="4359F8DE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結匯率超過100％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，從1.00~10.00進行評分（接受非整數評分），結匯率越高，分數越高。</w:t>
            </w:r>
          </w:p>
        </w:tc>
      </w:tr>
      <w:tr w:rsidR="0054336D" w:rsidRPr="00472902" w14:paraId="28F46B4A" w14:textId="77777777" w:rsidTr="00D40C23">
        <w:tc>
          <w:tcPr>
            <w:tcW w:w="1159" w:type="dxa"/>
            <w:shd w:val="clear" w:color="auto" w:fill="auto"/>
          </w:tcPr>
          <w:p w14:paraId="5D42F977" w14:textId="64B14998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2-7</w:t>
            </w:r>
          </w:p>
        </w:tc>
        <w:tc>
          <w:tcPr>
            <w:tcW w:w="2693" w:type="dxa"/>
            <w:shd w:val="clear" w:color="auto" w:fill="auto"/>
          </w:tcPr>
          <w:p w14:paraId="6D69432A" w14:textId="2ECC27C5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 餘額占累計結匯值比率達 50％以上，且 FRB 餘額達 300 萬美元以上</w:t>
            </w:r>
          </w:p>
        </w:tc>
        <w:tc>
          <w:tcPr>
            <w:tcW w:w="2057" w:type="dxa"/>
            <w:shd w:val="clear" w:color="auto" w:fill="auto"/>
          </w:tcPr>
          <w:p w14:paraId="7A42828A" w14:textId="53C1D710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結匯滯留於 FRB</w:t>
            </w:r>
          </w:p>
        </w:tc>
        <w:tc>
          <w:tcPr>
            <w:tcW w:w="2138" w:type="dxa"/>
          </w:tcPr>
          <w:p w14:paraId="6496D1B4" w14:textId="58E09EE4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08F7E40D" w14:textId="299FE49E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4336D" w:rsidRPr="00472902" w14:paraId="30A07262" w14:textId="77777777" w:rsidTr="00D40C23">
        <w:tc>
          <w:tcPr>
            <w:tcW w:w="1159" w:type="dxa"/>
            <w:shd w:val="clear" w:color="auto" w:fill="auto"/>
          </w:tcPr>
          <w:p w14:paraId="43C4C1EF" w14:textId="7C387BDA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2-8</w:t>
            </w:r>
          </w:p>
        </w:tc>
        <w:tc>
          <w:tcPr>
            <w:tcW w:w="2693" w:type="dxa"/>
            <w:shd w:val="clear" w:color="auto" w:fill="auto"/>
          </w:tcPr>
          <w:p w14:paraId="6E50D5AC" w14:textId="41FD8FA6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 餘額占累計結匯值比率未達 50％，且 FRB 餘額達 1,000 萬美元以上</w:t>
            </w:r>
          </w:p>
        </w:tc>
        <w:tc>
          <w:tcPr>
            <w:tcW w:w="2057" w:type="dxa"/>
            <w:shd w:val="clear" w:color="auto" w:fill="auto"/>
          </w:tcPr>
          <w:p w14:paraId="2E221E3F" w14:textId="425C3506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FRB 餘額金額重大</w:t>
            </w:r>
          </w:p>
        </w:tc>
        <w:tc>
          <w:tcPr>
            <w:tcW w:w="2138" w:type="dxa"/>
          </w:tcPr>
          <w:p w14:paraId="6DEF2CFA" w14:textId="7522904C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0B9D67B6" w14:textId="76124C8C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待定。</w:t>
            </w:r>
          </w:p>
        </w:tc>
      </w:tr>
      <w:tr w:rsidR="0054336D" w:rsidRPr="00472902" w14:paraId="171A8526" w14:textId="77777777" w:rsidTr="00D40C23">
        <w:tc>
          <w:tcPr>
            <w:tcW w:w="1159" w:type="dxa"/>
            <w:shd w:val="clear" w:color="auto" w:fill="auto"/>
          </w:tcPr>
          <w:p w14:paraId="1650D519" w14:textId="3021A4DD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2-9</w:t>
            </w:r>
          </w:p>
        </w:tc>
        <w:tc>
          <w:tcPr>
            <w:tcW w:w="2693" w:type="dxa"/>
            <w:shd w:val="clear" w:color="auto" w:fill="auto"/>
          </w:tcPr>
          <w:p w14:paraId="360BDC1A" w14:textId="479CF59E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待平衡支付值大於 0（欠款案件）</w:t>
            </w:r>
          </w:p>
        </w:tc>
        <w:tc>
          <w:tcPr>
            <w:tcW w:w="2057" w:type="dxa"/>
            <w:shd w:val="clear" w:color="auto" w:fill="auto"/>
          </w:tcPr>
          <w:p w14:paraId="000797E2" w14:textId="4C765BD2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欠款案件</w:t>
            </w:r>
          </w:p>
        </w:tc>
        <w:tc>
          <w:tcPr>
            <w:tcW w:w="2138" w:type="dxa"/>
          </w:tcPr>
          <w:p w14:paraId="3E5A62B0" w14:textId="7EAE5E69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2C88CC83" w14:textId="79DB8FEE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待平衡支付值大於0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，從1.00~10.00進行評分（接受非整數評分），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待平衡支付值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越高，分數越高。</w:t>
            </w:r>
          </w:p>
        </w:tc>
      </w:tr>
      <w:tr w:rsidR="0054336D" w:rsidRPr="00472902" w14:paraId="10205C82" w14:textId="77777777" w:rsidTr="00D40C23">
        <w:tc>
          <w:tcPr>
            <w:tcW w:w="1159" w:type="dxa"/>
            <w:shd w:val="clear" w:color="auto" w:fill="auto"/>
          </w:tcPr>
          <w:p w14:paraId="6F72C830" w14:textId="5BF2D1FD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作維 2-10</w:t>
            </w:r>
          </w:p>
        </w:tc>
        <w:tc>
          <w:tcPr>
            <w:tcW w:w="2693" w:type="dxa"/>
            <w:shd w:val="clear" w:color="auto" w:fill="auto"/>
          </w:tcPr>
          <w:p w14:paraId="2176BAEC" w14:textId="6CB2EE12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累計結匯率達 90％，且累計交運率未達 50％</w:t>
            </w:r>
          </w:p>
        </w:tc>
        <w:tc>
          <w:tcPr>
            <w:tcW w:w="2057" w:type="dxa"/>
            <w:shd w:val="clear" w:color="auto" w:fill="auto"/>
          </w:tcPr>
          <w:p w14:paraId="62EDAF59" w14:textId="481A172B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  <w:r w:rsidRPr="005C00AD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結匯近全額而交運未過半</w:t>
            </w:r>
          </w:p>
        </w:tc>
        <w:tc>
          <w:tcPr>
            <w:tcW w:w="2138" w:type="dxa"/>
          </w:tcPr>
          <w:p w14:paraId="536CCB56" w14:textId="0DA357F1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</w:pPr>
          </w:p>
        </w:tc>
        <w:tc>
          <w:tcPr>
            <w:tcW w:w="2409" w:type="dxa"/>
          </w:tcPr>
          <w:p w14:paraId="0FC19290" w14:textId="772D9E69" w:rsidR="0054336D" w:rsidRPr="00472902" w:rsidRDefault="0054336D" w:rsidP="0054336D">
            <w:pPr>
              <w:spacing w:after="0" w:line="360" w:lineRule="exact"/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</w:pP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累計結匯率達 90％，且累計交運率未達 50％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，命中者當中，從1.00~10.00進行評分（接受非整數評分），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累計結匯率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與</w:t>
            </w:r>
            <w:r w:rsidRPr="00472902">
              <w:rPr>
                <w:rFonts w:asciiTheme="minorEastAsia" w:eastAsiaTheme="minorEastAsia" w:hAnsiTheme="minorEastAsia"/>
                <w:color w:val="auto"/>
                <w:sz w:val="24"/>
                <w:szCs w:val="32"/>
                <w:lang w:eastAsia="zh-TW"/>
              </w:rPr>
              <w:t>累計交運率</w:t>
            </w:r>
            <w:r>
              <w:rPr>
                <w:rFonts w:asciiTheme="minorEastAsia" w:eastAsiaTheme="minorEastAsia" w:hAnsiTheme="minorEastAsia" w:hint="eastAsia"/>
                <w:color w:val="auto"/>
                <w:sz w:val="24"/>
                <w:szCs w:val="32"/>
                <w:lang w:eastAsia="zh-TW"/>
              </w:rPr>
              <w:t>差距越大，得分越高。</w:t>
            </w:r>
          </w:p>
        </w:tc>
      </w:tr>
    </w:tbl>
    <w:p w14:paraId="4B95D832" w14:textId="77777777" w:rsidR="005C00AD" w:rsidRPr="005C00AD" w:rsidRDefault="005C00AD">
      <w:pPr>
        <w:rPr>
          <w:rFonts w:asciiTheme="minorEastAsia" w:eastAsiaTheme="minorEastAsia" w:hAnsiTheme="minorEastAsia" w:hint="eastAsia"/>
          <w:sz w:val="24"/>
          <w:szCs w:val="28"/>
          <w:lang w:eastAsia="zh-TW"/>
        </w:rPr>
      </w:pPr>
    </w:p>
    <w:sectPr w:rsidR="005C00AD" w:rsidRPr="005C00AD" w:rsidSect="0047290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02"/>
    <w:rsid w:val="004172BD"/>
    <w:rsid w:val="0045763E"/>
    <w:rsid w:val="00472902"/>
    <w:rsid w:val="0054336D"/>
    <w:rsid w:val="005A1B58"/>
    <w:rsid w:val="005C00AD"/>
    <w:rsid w:val="006658DC"/>
    <w:rsid w:val="006E24C0"/>
    <w:rsid w:val="0071552E"/>
    <w:rsid w:val="009063BC"/>
    <w:rsid w:val="00944712"/>
    <w:rsid w:val="009F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B29D"/>
  <w15:chartTrackingRefBased/>
  <w15:docId w15:val="{FC9726D8-31B0-4F44-9874-CB42E342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902"/>
    <w:pPr>
      <w:spacing w:after="40" w:line="274" w:lineRule="auto"/>
    </w:pPr>
    <w:rPr>
      <w:rFonts w:ascii="微軟正黑體" w:eastAsia="微軟正黑體" w:hAnsi="微軟正黑體"/>
      <w:color w:val="1A1A1A"/>
      <w:kern w:val="0"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朱冠宇</dc:creator>
  <cp:keywords/>
  <dc:description/>
  <cp:lastModifiedBy>朱冠宇</cp:lastModifiedBy>
  <cp:revision>6</cp:revision>
  <dcterms:created xsi:type="dcterms:W3CDTF">2026-07-17T01:26:00Z</dcterms:created>
  <dcterms:modified xsi:type="dcterms:W3CDTF">2026-07-17T02:29:00Z</dcterms:modified>
</cp:coreProperties>
</file>