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276"/>
      </w:pPr>
      <w:r>
        <w:rPr>
          <w:b w:val="false"/>
          <w:bCs w:val="false"/>
          <w:sz w:val="24"/>
          <w:szCs w:val="24"/>
        </w:rPr>
        <w:t xml:space="preserve">***控制點篩選結果為所有軍購案風險分數評分的標準***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規則與概述：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每個控制點分析項目內，對命中的軍購案，依其數值以固定「錨點」換算為1.00~10.00分（接受非整數評分）。未命中的軍購案，該控制點評分則得0分。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風險分數越高，代表此軍購案有問題機率越大。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同一個控制點篩選出來的案件，數值相同者得分相同。以軍投1-2「累計交運率未達50％（不含0）」為例，若命中案件中有3個案件累計交運率皆為46％，則它們的得分都相同。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最後所有的軍購案都會有一個風險分數總分，範圍為0.00~70.00，所有控制點皆沒命中的軍購案，即獲得0分。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276"/>
      </w:pPr>
      <w:r>
        <w:rPr>
          <w:b/>
          <w:bCs/>
          <w:sz w:val="24"/>
          <w:szCs w:val="24"/>
        </w:rPr>
        <w:t xml:space="preserve">一、評分基準採「數值錨點法」，不採排序法。</w:t>
      </w:r>
    </w:p>
    <w:p>
      <w:pPr>
        <w:spacing w:after="80" w:line="276"/>
      </w:pPr>
      <w:r>
        <w:rPr>
          <w:b w:val="false"/>
          <w:bCs w:val="false"/>
          <w:sz w:val="24"/>
          <w:szCs w:val="24"/>
        </w:rPr>
        <w:t xml:space="preserve">　　各控制點的評分標準均明訂「多少對應1.00分、多少對應10.00分」，案件得分只由其自身數值決定，與當期命中案件的多寡、其他案件的嚴重程度無關。採此法之理由：跨期可比，同一案件在不同期別的分數可直接比較，看出改善或惡化；且排序法在某控制點僅1件命中時無法定義分數（建立評分標準時的實際資料即有2個控制點僅1件命中）。</w:t>
      </w:r>
    </w:p>
    <w:p>
      <w:pPr>
        <w:spacing w:after="0" w:line="276"/>
      </w:pPr>
      <w:r>
        <w:rPr>
          <w:b/>
          <w:bCs/>
          <w:sz w:val="24"/>
          <w:szCs w:val="24"/>
        </w:rPr>
        <w:t xml:space="preserve">二、成對互斥的控制點合併為單一評分維度。</w:t>
      </w:r>
    </w:p>
    <w:p>
      <w:pPr>
        <w:spacing w:after="80" w:line="276"/>
      </w:pPr>
      <w:r>
        <w:rPr>
          <w:b w:val="false"/>
          <w:bCs w:val="false"/>
          <w:sz w:val="24"/>
          <w:szCs w:val="24"/>
        </w:rPr>
        <w:t xml:space="preserve">　　軍投1-3與1-4、軍投1-7與1-8、作維2-3與2-4、作維2-7與2-8共四組，各合併為一個評分維度，命中其中任一項者即依同一公式評分。理由：以軍投1-3／1-4為例，代數上「差異」＝「軍購備查帳餘額」÷「發價值」，故軍投1-3的「差異」與軍投1-4的「軍購備查帳餘額」是同一筆在途物資的相對與絕對兩種看法；若各自單獨計分，會出現「兩項指標皆較差、分數反而較低」的反轉。</w:t>
      </w:r>
    </w:p>
    <w:p>
      <w:pPr>
        <w:spacing w:after="0" w:line="276"/>
      </w:pPr>
      <w:r>
        <w:rPr>
          <w:b/>
          <w:bCs/>
          <w:sz w:val="24"/>
          <w:szCs w:val="24"/>
        </w:rPr>
        <w:t xml:space="preserve">三、軍投1-10併入軍投1-3／1-4維度，不另計分；作維2-10仍獨立計分。</w:t>
      </w:r>
    </w:p>
    <w:p>
      <w:pPr>
        <w:spacing w:after="80" w:line="276"/>
      </w:pPr>
      <w:r>
        <w:rPr>
          <w:b w:val="false"/>
          <w:bCs w:val="false"/>
          <w:sz w:val="24"/>
          <w:szCs w:val="24"/>
        </w:rPr>
        <w:t xml:space="preserve">　　理由：「差異」＝「累計結匯率」×（1－「累計交運率」），軍投1-10的條件（結匯率達90％、交運率未達50％）必然使差異大於45％，已超過軍投1-3的40％門檻，故軍投1-10命中之案件必然同時命中軍投1-3，另計即為重複計分。作維2-10不適用此推論：作維2-3的差異門檻為50％，且作維2-3與2-4皆另設軍購備查帳餘額門檻，故差異介於45％至50％之間、且餘額未達3,000萬美元之案件僅作維2-10能篩出，其風險未被其他維度計入，故仍獨立計分。</w:t>
      </w:r>
    </w:p>
    <w:p>
      <w:pPr>
        <w:spacing w:after="0" w:line="276"/>
      </w:pPr>
      <w:r>
        <w:rPr>
          <w:b/>
          <w:bCs/>
          <w:sz w:val="24"/>
          <w:szCs w:val="24"/>
        </w:rPr>
        <w:t xml:space="preserve">四、指標的換算方式。</w:t>
      </w:r>
    </w:p>
    <w:p>
      <w:pPr>
        <w:spacing w:after="80" w:line="276"/>
      </w:pPr>
      <w:r>
        <w:rPr>
          <w:b w:val="false"/>
          <w:bCs w:val="false"/>
          <w:sz w:val="24"/>
          <w:szCs w:val="24"/>
        </w:rPr>
        <w:t xml:space="preserve">　　比率類指標（累計交運率、差異、FRB餘額占比、結匯率等）以線性換算。金額類指標（軍購備查帳餘額、FRB餘額、待平衡支付值等）以對數換算——因金額橫跨三個以上數量級，線性換算會使中小額案件全部擠在1分附近。設有二項指標之評分維度，取二者之加權平均。</w:t>
      </w:r>
    </w:p>
    <w:p>
      <w:pPr>
        <w:spacing w:after="0" w:line="276"/>
      </w:pPr>
      <w:r>
        <w:rPr>
          <w:b/>
          <w:bCs/>
          <w:sz w:val="24"/>
          <w:szCs w:val="24"/>
        </w:rPr>
        <w:t xml:space="preserve">五、錨點值（依建立評分標準時的實際資料校準）。</w:t>
      </w:r>
    </w:p>
    <w:p>
      <w:pPr>
        <w:spacing w:after="80" w:line="276"/>
      </w:pPr>
      <w:r>
        <w:rPr>
          <w:b w:val="false"/>
          <w:bCs w:val="false"/>
          <w:sz w:val="24"/>
          <w:szCs w:val="24"/>
        </w:rPr>
        <w:t xml:space="preserve">　　錨點一經訂定不宜變更；變更後前後期分數即無法比較。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　　・金額上錨（軍購備查帳餘額、FRB餘額、提領未交差異金額共用）：100億美元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　　・金額下錨：1萬美元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　　・待平衡支付值下錨：1萬美元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　　・待平衡支付值上錨：2億美元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　　・結匯率上錨：300％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　　・雙指標權重：比率指標50％、金額指標50％</w:t>
      </w:r>
    </w:p>
    <w:p>
      <w:pPr>
        <w:spacing w:after="80" w:line="276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276"/>
      </w:pPr>
      <w:r>
        <w:rPr>
          <w:b/>
          <w:bCs/>
          <w:sz w:val="24"/>
          <w:szCs w:val="24"/>
        </w:rPr>
        <w:t xml:space="preserve">六、總分範圍為0.00~70.00。</w:t>
      </w:r>
    </w:p>
    <w:p>
      <w:pPr>
        <w:spacing w:after="80" w:line="276"/>
      </w:pPr>
      <w:r>
        <w:rPr>
          <w:b w:val="false"/>
          <w:bCs w:val="false"/>
          <w:sz w:val="24"/>
          <w:szCs w:val="24"/>
        </w:rPr>
        <w:t xml:space="preserve">　　軍投類有7個計分維度（1-1、1-2、1-3／1-4／1-10、1-5、1-6、1-7／1-8、1-9），其中1-1與1-2互斥（交運值為0時累計交運率必為0），故單案最多命中6個維度、上限60.00分。作維類有8個計分維度（2-1、2-2、2-3／2-4、2-5、2-6、2-7／2-8、2-9、2-10），其中2-1與2-2互斥，故單案最多命中7個維度、上限70.00分。實務上單案最多命中4個維度，故實際分數多落於0至40之間。</w:t>
      </w:r>
    </w:p>
    <w:p>
      <w:pPr>
        <w:spacing w:after="0" w:line="276"/>
      </w:pPr>
      <w:r>
        <w:rPr>
          <w:b/>
          <w:bCs/>
          <w:sz w:val="24"/>
          <w:szCs w:val="24"/>
        </w:rPr>
        <w:t xml:space="preserve">七、結匯率上錨訂為300％之說明。</w:t>
      </w:r>
    </w:p>
    <w:p>
      <w:pPr>
        <w:spacing w:after="80" w:line="276"/>
      </w:pPr>
      <w:r>
        <w:rPr>
          <w:b w:val="false"/>
          <w:bCs w:val="false"/>
          <w:sz w:val="24"/>
          <w:szCs w:val="24"/>
        </w:rPr>
        <w:t xml:space="preserve">　　建立評分標準時的實際資料中，結匯率最高者達1950％（疑為發價值欄位有誤，另案查證），其餘最高之3案均在300％以內。若以1950％為上錨，結匯率250％之案件僅得1.73分，尺規形同失效；以300％為上錨則得7.75分，結匯率1950％之案件則以10.00分計。</w:t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軍投類（含特別預算）評分標準：</w:t>
      </w:r>
    </w:p>
    <w:tbl>
      <w:tblPr>
        <w:tblW w:type="dxa" w:w="104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300"/>
        <w:gridCol w:w="900"/>
        <w:gridCol w:w="5156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4"/>
                <w:szCs w:val="24"/>
              </w:rPr>
              <w:t xml:space="preserve">編號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4"/>
                <w:szCs w:val="24"/>
              </w:rPr>
              <w:t xml:space="preserve">分析項目名稱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4"/>
                <w:szCs w:val="24"/>
              </w:rPr>
              <w:t xml:space="preserve">風險意涵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4"/>
                <w:szCs w:val="24"/>
              </w:rPr>
              <w:t xml:space="preserve">風險類別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4"/>
                <w:szCs w:val="24"/>
              </w:rPr>
              <w:t xml:space="preserve">評分標準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1-1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交運值為 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完全未交貨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執行風險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篩選命中的案件，得10分。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1-2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累計交運率未達 50％（不含 0）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交貨落後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執行風險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累計交運率未達50％，從1.00~10.00進行評分（接受非整數評分），累計交運率越低，分數越高。累計交運率50％得1.00分，趨近0得10.00分。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1-3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「累計交運值/發價值」與「累計結匯率」差異達 40％以上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交運進度落後付款進度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執行風險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/發價值」與「累計結匯率」差異達40％以上者命中。本項與軍投1-4、軍投1-10合併為同一評分維度，命中三者其中任一項者，均依本標準評分：取「差異」與「軍購備查帳餘額」二項指標，各占50％權重，從1.00~10.00進行評分（接受非整數評分），差異越大、餘額越高，分數越高。差異以0％至100％線性換算，達100％以上者以100％計；軍購備查帳餘額以1萬美元至100億美元對數換算，1萬美元以下者該項以0計，100億美元以上者以100億美元計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1-4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「累計交運值/發價值」與「累計結匯率」差異未達 40％，且軍購備查帳餘額達 3,000 萬美元以上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在途物資（滯美資金）重大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執行風險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「累計交運值/發價值」與「累計結匯率」差異未達40％，且軍購備查帳餘額達3,000萬美元以上者命中。本項與軍投1-3、軍投1-10合併為同一評分維度，評分方式同軍投1-3。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1-5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「累計交運值」與「累計結匯值減去 FRB 餘額」之比率低於 10％，且二者差異金額大於 1 億美元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提領未交，履約異常（風險最高）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執行風險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」與「累計結匯值減去FRB餘額」之比率低於10％，且二者差異金額大於1億美元者命中。取「交運值占已提領金額之比率」與「二者差異金額」二項指標，各占50％權重，從1.00~10.00進行評分（接受非整數評分），比率越低、差異金額越高，分數越高。比率以10％至0％線性換算；差異金額以1萬美元至100億美元對數換算，1萬美元以下者該項以0計，100億美元以上者以100億美元計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1-6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結匯率超過 100％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溢付、帳務異常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財務風險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結匯率超過100％，從1.00~10.00進行評分（接受非整數評分），結匯率越高，分數越高。結匯率100％得1.00分，達300％以上得10.00分。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1-7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FRB 餘額占累計結匯值比率達 40％以上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結匯滯留，款項閒置於 FRB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財務風險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FRB餘額占累計結匯值比率達40％以上者命中。本項與軍投1-8合併為同一評分維度，命中其中任一項者，均依本標準評分：取「FRB餘額占累計結匯值比率」與「FRB餘額」二項指標，各占50％權重，從1.00~10.00進行評分（接受非整數評分），比率越高、餘額越高，分數越高。比率以0％至100％線性換算；FRB餘額以1萬美元至100億美元對數換算，1萬美元以下者該項以0計，100億美元以上者以100億美元計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1-8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FRB 餘額占累計結匯值比率未達 40％，且 FRB 餘額達 3,000 萬美元以上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FRB 餘額金額重大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財務風險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FRB餘額占累計結匯值比率未達40％，且FRB餘額達3,000萬美元以上者命中。本項與軍投1-7合併為同一評分維度，評分方式同軍投1-7。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1-9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待平衡支付值大於 0（欠款案件）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我方欠款案件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財務風險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待平衡支付值大於0，從1.00~10.00進行評分（接受非整數評分），待平衡支付值越高，分數越高。待平衡支付值1萬美元以下得1.00分，2億美元以上得10.00分，中間以對數換算。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1-10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累計結匯率達 90％，且累計交運率未達 50％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結匯近全額而交運未過半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執行風險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累計結匯率達90％，且累計交運率未達50％者命中。本項併入軍投1-3／1-4維度，不另計分，其風險由軍投1-3之評分涵蓋。（說明：「差異」＝「累計結匯率」×（1－「累計交運率」），本項條件必然使差異大於45％、超過軍投1-3之40％門檻，故本項命中之案件必然同時命中軍投1-3，另計即為重複計分。本項仍於分析總表獨立列示，作為檢討態樣。）</w:t>
            </w:r>
          </w:p>
        </w:tc>
      </w:tr>
    </w:tbl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276"/>
      </w:pPr>
      <w:r>
        <w:rPr>
          <w:b w:val="false"/>
          <w:bCs w:val="false"/>
          <w:sz w:val="24"/>
          <w:szCs w:val="24"/>
        </w:rPr>
        <w:t xml:space="preserve">作維類評分標準：</w:t>
      </w:r>
    </w:p>
    <w:tbl>
      <w:tblPr>
        <w:tblW w:type="dxa" w:w="104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300"/>
        <w:gridCol w:w="900"/>
        <w:gridCol w:w="5156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4"/>
                <w:szCs w:val="24"/>
              </w:rPr>
              <w:t xml:space="preserve">編號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4"/>
                <w:szCs w:val="24"/>
              </w:rPr>
              <w:t xml:space="preserve">分析項目名稱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4"/>
                <w:szCs w:val="24"/>
              </w:rPr>
              <w:t xml:space="preserve">風險意涵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4"/>
                <w:szCs w:val="24"/>
              </w:rPr>
              <w:t xml:space="preserve">風險類別</w:t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4"/>
                <w:szCs w:val="24"/>
              </w:rPr>
              <w:t xml:space="preserve">評分標準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2-1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交運值為 0，結匯值 300 萬美元以上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未交貨（排除小額）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篩選命中的案件，得10分。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2-2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累計交運率未達 50％（不含 0），且軍購備查帳餘額達 3,000 萬美元以上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交貨落後且在途重大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累計交運率未達50％（不含0），且軍購備查帳餘額達3,000萬美元以上者命中。取「累計交運率」與「軍購備查帳餘額」二項指標，各占50％權重，從1.00~10.00進行評分（接受非整數評分），交運率越低、餘額越高，分數越高。交運率以50％至0％線性換算；軍購備查帳餘額以1萬美元至100億美元對數換算，1萬美元以下者該項以0計，100億美元以上者以100億美元計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2-3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「累計交運值/發價值」與「累計結匯率」差異達 50％以上，且軍購備查帳餘額 300 萬美元以上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進度落差異常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/發價值」與「累計結匯率」差異達50％以上，且軍購備查帳餘額300萬美元以上者命中。本項與作維2-4合併為同一評分維度，命中其中任一項者，均依本標準評分：取「差異」與「軍購備查帳餘額」二項指標，各占50％權重，從1.00~10.00進行評分（接受非整數評分），差異越大、餘額越高，分數越高。差異以0％至100％線性換算，達100％以上者以100％計；軍購備查帳餘額以1萬美元至100億美元對數換算，1萬美元以下者該項以0計，100億美元以上者以100億美元計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2-4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「累計交運值/發價值」與「累計結匯率」差異未達 50％，且軍購備查帳餘額達 3,000 萬美元以上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在途物資重大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「累計交運值/發價值」與「累計結匯率」差異未達50％，且軍購備查帳餘額達3,000萬美元以上者命中。本項與作維2-3合併為同一評分維度，評分方式同作維2-3。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2-5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「累計交運值」與「累計結匯值減去 FRB 餘額」之比率低於 10％，且二者差異金額大於 1,000 萬美元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提領未交，履約異常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「累計交運值」與「累計結匯值減去FRB餘額」之比率低於10％，且二者差異金額大於1,000萬美元者命中。取「交運值占已提領金額之比率」與「二者差異金額」二項指標，各占50％權重，從1.00~10.00進行評分（接受非整數評分），比率越低、差異金額越高，分數越高。比率以10％至0％線性換算；差異金額以1萬美元至100億美元對數換算，1萬美元以下者該項以0計，100億美元以上者以100億美元計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2-6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結匯率超過 100％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溢付、帳務異常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結匯率超過100％，從1.00~10.00進行評分（接受非整數評分），結匯率越高，分數越高。結匯率100％得1.00分，達300％以上得10.00分。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2-7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FRB 餘額占累計結匯值比率達 50％以上，且 FRB 餘額達 300 萬美元以上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結匯滯留於 FRB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FRB餘額占累計結匯值比率達50％以上，且FRB餘額達300萬美元以上者命中。本項與作維2-8合併為同一評分維度，命中其中任一項者，均依本標準評分：取「FRB餘額占累計結匯值比率」與「FRB餘額」二項指標，各占50％權重，從1.00~10.00進行評分（接受非整數評分），比率越高、餘額越高，分數越高。比率以0％至100％線性換算；FRB餘額以1萬美元至100億美元對數換算，1萬美元以下者該項以0計，100億美元以上者以100億美元計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2-8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FRB 餘額占累計結匯值比率未達 50％，且 FRB 餘額達 1,000 萬美元以上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FRB 餘額金額重大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FRB餘額占累計結匯值比率未達50％，且FRB餘額達1,000萬美元以上者命中。本項與作維2-7合併為同一評分維度，評分方式同作維2-7。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2-9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待平衡支付值大於 0（欠款案件）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欠款案件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待平衡支付值大於0，從1.00~10.00進行評分（接受非整數評分），待平衡支付值越高，分數越高。待平衡支付值1萬美元以下得1.00分，2億美元以上得10.00分，中間以對數換算。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2-10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累計結匯率達 90％，且累計交運率未達 50％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結匯近全額而交運未過半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5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b w:val="false"/>
                <w:bCs w:val="false"/>
                <w:sz w:val="24"/>
                <w:szCs w:val="24"/>
              </w:rPr>
              <w:t xml:space="preserve">累計結匯率達90％，且累計交運率未達50％，命中者當中，以「累計結匯率與累計交運率之差距」從1.00~10.00進行評分（接受非整數評分），差距越大，得分越高。差距40％得1.00分，達100％以上得10.00分。（說明：本項與作維2-3、2-4部分重疊但不重複計分——作維2-3之差異門檻為50％，且作維2-3與2-4皆另設軍購備查帳餘額門檻，故差異介於45％至50％之間、且軍購備查帳餘額未達3,000萬美元之案件，僅本項能篩出，其風險未被其他維度計入。此與軍投1-10之情形不同，故本項仍獨立計分。）</w:t>
            </w:r>
          </w:p>
        </w:tc>
      </w:tr>
    </w:tbl>
    <w:sectPr>
      <w:pgSz w:w="11906" w:h="16838" w:orient="portrait"/>
      <w:pgMar w:top="720" w:right="720" w:bottom="720" w:left="720" w:header="851" w:footer="99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2026-07-17T12:09:31.009Z</dcterms:created>
  <dcterms:modified xsi:type="dcterms:W3CDTF">2026-07-17T12:09:31.015Z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