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lang w:val="en-AU" w:eastAsia="en-US"/>
        </w:rPr>
      </w:pPr>
      <w:bookmarkStart w:id="0" w:name="current-final-model"/>
      <w:r>
        <w:rPr>
          <w:rFonts w:hint="default"/>
          <w:b/>
          <w:bCs/>
          <w:color w:val="000000" w:themeColor="text1"/>
          <w:sz w:val="32"/>
          <w:szCs w:val="32"/>
          <w:lang w:val="en-AU" w:eastAsia="en-US"/>
        </w:rPr>
        <w:t>Visualization and Interpretation for model mixed2.0</w:t>
      </w:r>
    </w:p>
    <w:p>
      <w:pPr>
        <w:bidi w:val="0"/>
        <w:rPr>
          <w:rFonts w:hint="default"/>
          <w:b/>
          <w:bCs/>
          <w:sz w:val="22"/>
          <w:szCs w:val="22"/>
          <w:lang w:val="en-AU" w:eastAsia="en-US"/>
        </w:rPr>
      </w:pPr>
    </w:p>
    <w:p>
      <w:pPr>
        <w:bidi w:val="0"/>
        <w:rPr>
          <w:rFonts w:hint="default"/>
          <w:lang w:val="en-AU" w:eastAsia="en-US"/>
        </w:rPr>
      </w:pPr>
      <w:r>
        <w:rPr>
          <w:rFonts w:hint="default"/>
          <w:b/>
          <w:bCs/>
          <w:sz w:val="22"/>
          <w:szCs w:val="22"/>
          <w:lang w:val="en-AU" w:eastAsia="en-US"/>
        </w:rPr>
        <w:t>Current final model: random effect using InGap for log(DBHdatarm$DBH.year.6)</w:t>
      </w:r>
    </w:p>
    <w:bookmarkEnd w:id="0"/>
    <w:p>
      <w:pPr>
        <w:pStyle w:val="36"/>
      </w:pPr>
      <w:bookmarkStart w:id="1" w:name="visualization"/>
      <w:r>
        <w:rPr>
          <w:rStyle w:val="69"/>
        </w:rPr>
        <w:t>mixed2</w:t>
      </w:r>
      <w:r>
        <w:rPr>
          <w:rStyle w:val="43"/>
        </w:rPr>
        <w:t>.0</w:t>
      </w:r>
      <w:r>
        <w:rPr>
          <w:rStyle w:val="69"/>
        </w:rPr>
        <w:t xml:space="preserve"> </w:t>
      </w:r>
      <w:r>
        <w:rPr>
          <w:rStyle w:val="55"/>
        </w:rPr>
        <w:t>=</w:t>
      </w:r>
      <w:r>
        <w:rPr>
          <w:rStyle w:val="69"/>
        </w:rPr>
        <w:t xml:space="preserve"> </w:t>
      </w:r>
      <w:r>
        <w:rPr>
          <w:rStyle w:val="56"/>
        </w:rPr>
        <w:t>lmer</w:t>
      </w:r>
      <w:r>
        <w:rPr>
          <w:rStyle w:val="69"/>
        </w:rPr>
        <w:t>(</w:t>
      </w:r>
      <w:r>
        <w:rPr>
          <w:rStyle w:val="56"/>
        </w:rPr>
        <w:t>log</w:t>
      </w:r>
      <w:r>
        <w:rPr>
          <w:rStyle w:val="69"/>
        </w:rPr>
        <w:t>(DBH.year</w:t>
      </w:r>
      <w:r>
        <w:rPr>
          <w:rStyle w:val="43"/>
        </w:rPr>
        <w:t>.6</w:t>
      </w:r>
      <w:r>
        <w:rPr>
          <w:rStyle w:val="69"/>
        </w:rPr>
        <w:t>)</w:t>
      </w:r>
      <w:r>
        <w:rPr>
          <w:rStyle w:val="46"/>
        </w:rPr>
        <w:t>~</w:t>
      </w:r>
      <w:r>
        <w:rPr>
          <w:rStyle w:val="56"/>
        </w:rPr>
        <w:t>log</w:t>
      </w:r>
      <w:r>
        <w:rPr>
          <w:rStyle w:val="69"/>
        </w:rPr>
        <w:t>(DBH.year</w:t>
      </w:r>
      <w:r>
        <w:rPr>
          <w:rStyle w:val="43"/>
        </w:rPr>
        <w:t>.0</w:t>
      </w:r>
      <w:r>
        <w:rPr>
          <w:rStyle w:val="69"/>
        </w:rPr>
        <w:t>)</w:t>
      </w:r>
      <w:r>
        <w:rPr>
          <w:rStyle w:val="46"/>
        </w:rPr>
        <w:t>+</w:t>
      </w:r>
      <w:r>
        <w:rPr>
          <w:rStyle w:val="69"/>
        </w:rPr>
        <w:t>Treatment</w:t>
      </w:r>
      <w:r>
        <w:rPr>
          <w:rStyle w:val="46"/>
        </w:rPr>
        <w:t>+</w:t>
      </w:r>
      <w:r>
        <w:rPr>
          <w:rStyle w:val="69"/>
        </w:rPr>
        <w:t>InGap</w:t>
      </w:r>
      <w:r>
        <w:rPr>
          <w:rStyle w:val="46"/>
        </w:rPr>
        <w:t>+</w:t>
      </w:r>
      <w:r>
        <w:rPr>
          <w:rStyle w:val="56"/>
        </w:rPr>
        <w:t>log</w:t>
      </w:r>
      <w:r>
        <w:rPr>
          <w:rStyle w:val="69"/>
        </w:rPr>
        <w:t>(DBH.year</w:t>
      </w:r>
      <w:r>
        <w:rPr>
          <w:rStyle w:val="43"/>
        </w:rPr>
        <w:t>.0</w:t>
      </w:r>
      <w:r>
        <w:rPr>
          <w:rStyle w:val="69"/>
        </w:rPr>
        <w:t>)</w:t>
      </w:r>
      <w:r>
        <w:rPr>
          <w:rStyle w:val="46"/>
        </w:rPr>
        <w:t>:</w:t>
      </w:r>
      <w:r>
        <w:rPr>
          <w:rStyle w:val="69"/>
        </w:rPr>
        <w:t>InGap</w:t>
      </w:r>
      <w:r>
        <w:rPr>
          <w:rStyle w:val="46"/>
        </w:rPr>
        <w:t>+</w:t>
      </w:r>
      <w:r>
        <w:rPr>
          <w:rStyle w:val="69"/>
        </w:rPr>
        <w:t>(</w:t>
      </w:r>
      <w:r>
        <w:rPr>
          <w:rStyle w:val="41"/>
        </w:rPr>
        <w:t>1</w:t>
      </w:r>
      <w:r>
        <w:rPr>
          <w:rStyle w:val="46"/>
        </w:rPr>
        <w:t>|</w:t>
      </w:r>
      <w:r>
        <w:rPr>
          <w:rStyle w:val="69"/>
        </w:rPr>
        <w:t xml:space="preserve">Plot), </w:t>
      </w:r>
      <w:r>
        <w:rPr>
          <w:rStyle w:val="63"/>
        </w:rPr>
        <w:t>data =</w:t>
      </w:r>
      <w:r>
        <w:rPr>
          <w:rStyle w:val="69"/>
        </w:rPr>
        <w:t xml:space="preserve"> DBHdatarm)</w:t>
      </w:r>
      <w:r>
        <w:br w:type="textWrapping"/>
      </w:r>
      <w:r>
        <w:rPr>
          <w:rStyle w:val="35"/>
        </w:rPr>
        <w:t xml:space="preserve">## </w:t>
      </w:r>
      <w:r>
        <w:br w:type="textWrapping"/>
      </w:r>
      <w:r>
        <w:rPr>
          <w:rStyle w:val="35"/>
        </w:rPr>
        <w:t>## Fixed effects:</w:t>
      </w:r>
      <w:r>
        <w:br w:type="textWrapping"/>
      </w:r>
      <w:r>
        <w:rPr>
          <w:rStyle w:val="35"/>
        </w:rPr>
        <w:t xml:space="preserve">##                            Estimate </w:t>
      </w:r>
      <w:r>
        <w:rPr>
          <w:rStyle w:val="35"/>
          <w:rFonts w:hint="default" w:ascii="Consolas"/>
          <w:lang w:val="en-AU"/>
        </w:rPr>
        <w:t xml:space="preserve">  </w:t>
      </w:r>
      <w:r>
        <w:rPr>
          <w:rStyle w:val="35"/>
        </w:rPr>
        <w:t>Std. Error t value</w:t>
      </w:r>
      <w:r>
        <w:br w:type="textWrapping"/>
      </w:r>
      <w:r>
        <w:rPr>
          <w:rStyle w:val="35"/>
        </w:rPr>
        <w:t xml:space="preserve">## (Intercept)                0.072639   0.027788   </w:t>
      </w:r>
      <w:r>
        <w:rPr>
          <w:rStyle w:val="35"/>
          <w:rFonts w:hint="default" w:ascii="Consolas"/>
          <w:lang w:val="en-AU"/>
        </w:rPr>
        <w:t xml:space="preserve"> </w:t>
      </w:r>
      <w:r>
        <w:rPr>
          <w:rStyle w:val="35"/>
        </w:rPr>
        <w:t>2.614</w:t>
      </w:r>
      <w:r>
        <w:br w:type="textWrapping"/>
      </w:r>
      <w:r>
        <w:rPr>
          <w:rStyle w:val="35"/>
        </w:rPr>
        <w:t xml:space="preserve">## log(DBH.year.0)            0.986722   0.007783 </w:t>
      </w:r>
      <w:r>
        <w:rPr>
          <w:rStyle w:val="35"/>
          <w:rFonts w:hint="default" w:ascii="Consolas"/>
          <w:lang w:val="en-AU"/>
        </w:rPr>
        <w:t xml:space="preserve"> </w:t>
      </w:r>
      <w:r>
        <w:rPr>
          <w:rStyle w:val="35"/>
        </w:rPr>
        <w:t>126.785</w:t>
      </w:r>
      <w:r>
        <w:br w:type="textWrapping"/>
      </w:r>
      <w:r>
        <w:rPr>
          <w:rStyle w:val="35"/>
        </w:rPr>
        <w:t xml:space="preserve">## TreatmentT1: Gap           0.028683   0.007475   </w:t>
      </w:r>
      <w:r>
        <w:rPr>
          <w:rStyle w:val="35"/>
          <w:rFonts w:hint="default" w:ascii="Consolas"/>
          <w:lang w:val="en-AU"/>
        </w:rPr>
        <w:t xml:space="preserve"> </w:t>
      </w:r>
      <w:r>
        <w:rPr>
          <w:rStyle w:val="35"/>
        </w:rPr>
        <w:t>3.837</w:t>
      </w:r>
      <w:r>
        <w:br w:type="textWrapping"/>
      </w:r>
      <w:r>
        <w:rPr>
          <w:rStyle w:val="35"/>
        </w:rPr>
        <w:t xml:space="preserve">## TreatmentT2: Radial        0.039231   0.007962   </w:t>
      </w:r>
      <w:r>
        <w:rPr>
          <w:rStyle w:val="35"/>
          <w:rFonts w:hint="default" w:ascii="Consolas"/>
          <w:lang w:val="en-AU"/>
        </w:rPr>
        <w:t xml:space="preserve"> </w:t>
      </w:r>
      <w:r>
        <w:rPr>
          <w:rStyle w:val="35"/>
        </w:rPr>
        <w:t>4.927</w:t>
      </w:r>
      <w:r>
        <w:br w:type="textWrapping"/>
      </w:r>
      <w:r>
        <w:rPr>
          <w:rStyle w:val="35"/>
        </w:rPr>
        <w:t xml:space="preserve">## InGapTRUE                  </w:t>
      </w:r>
      <w:r>
        <w:rPr>
          <w:rStyle w:val="35"/>
          <w:rFonts w:hint="default" w:ascii="Consolas"/>
          <w:lang w:val="en-AU"/>
        </w:rPr>
        <w:t xml:space="preserve"> </w:t>
      </w:r>
      <w:r>
        <w:rPr>
          <w:rStyle w:val="35"/>
        </w:rPr>
        <w:t xml:space="preserve">0.452284   0.107566   </w:t>
      </w:r>
      <w:r>
        <w:rPr>
          <w:rStyle w:val="35"/>
          <w:rFonts w:hint="default" w:ascii="Consolas"/>
          <w:lang w:val="en-AU"/>
        </w:rPr>
        <w:t xml:space="preserve"> </w:t>
      </w:r>
      <w:r>
        <w:rPr>
          <w:rStyle w:val="35"/>
        </w:rPr>
        <w:t>4.205</w:t>
      </w:r>
      <w:r>
        <w:br w:type="textWrapping"/>
      </w:r>
      <w:r>
        <w:rPr>
          <w:rStyle w:val="35"/>
        </w:rPr>
        <w:t xml:space="preserve">## log(DBH.year.0):InGapTRUE -0.114046  </w:t>
      </w:r>
      <w:r>
        <w:rPr>
          <w:rStyle w:val="35"/>
          <w:rFonts w:hint="default" w:ascii="Consolas"/>
          <w:lang w:val="en-AU"/>
        </w:rPr>
        <w:t xml:space="preserve"> </w:t>
      </w:r>
      <w:r>
        <w:rPr>
          <w:rStyle w:val="35"/>
        </w:rPr>
        <w:t>0.029285  -3.894</w:t>
      </w:r>
      <w:r>
        <w:br w:type="textWrapping"/>
      </w:r>
      <w:r>
        <w:rPr>
          <w:rStyle w:val="35"/>
        </w:rPr>
        <w:t xml:space="preserve">## </w:t>
      </w:r>
    </w:p>
    <w:p>
      <w:pPr>
        <w:pStyle w:val="3"/>
        <w:rPr>
          <w:rFonts w:hint="default" w:asciiTheme="minorHAnsi" w:hAnsiTheme="minorHAnsi" w:eastAsiaTheme="minorHAnsi" w:cstheme="minorBidi"/>
          <w:b/>
          <w:bCs/>
          <w:sz w:val="22"/>
          <w:szCs w:val="22"/>
          <w:lang w:val="en-AU" w:eastAsia="en-US" w:bidi="ar-SA"/>
        </w:rPr>
      </w:pPr>
    </w:p>
    <w:p>
      <w:pPr>
        <w:bidi w:val="0"/>
        <w:rPr>
          <w:rFonts w:hint="default"/>
          <w:b/>
          <w:bCs/>
          <w:sz w:val="22"/>
          <w:szCs w:val="22"/>
          <w:lang w:val="en-AU" w:eastAsia="en-US"/>
        </w:rPr>
      </w:pPr>
      <w:r>
        <w:rPr>
          <w:rFonts w:hint="default"/>
          <w:b/>
          <w:bCs/>
          <w:sz w:val="22"/>
          <w:szCs w:val="22"/>
          <w:lang w:val="en-AU" w:eastAsia="en-US"/>
        </w:rPr>
        <w:t>Visualize constrain according to mixed2.0</w:t>
      </w:r>
    </w:p>
    <w:p>
      <w:pPr>
        <w:bidi w:val="0"/>
        <w:rPr>
          <w:rFonts w:hint="default"/>
          <w:b/>
          <w:bCs/>
          <w:sz w:val="22"/>
          <w:szCs w:val="22"/>
          <w:lang w:val="en-AU" w:eastAsia="en-US"/>
        </w:rPr>
      </w:pPr>
      <w:r>
        <w:rPr>
          <w:rFonts w:hint="default"/>
          <w:b/>
          <w:bCs/>
          <w:sz w:val="22"/>
          <w:szCs w:val="22"/>
          <w:lang w:val="en-AU" w:eastAsia="en-US"/>
        </w:rPr>
        <w:drawing>
          <wp:inline distT="0" distB="0" distL="114300" distR="114300">
            <wp:extent cx="5486400" cy="4114800"/>
            <wp:effectExtent l="0" t="0" r="0" b="0"/>
            <wp:docPr id="2" name="图片 2" descr="cons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nstrain"/>
                    <pic:cNvPicPr>
                      <a:picLocks noChangeAspect="1"/>
                    </pic:cNvPicPr>
                  </pic:nvPicPr>
                  <pic:blipFill>
                    <a:blip r:embed="rId5"/>
                    <a:stretch>
                      <a:fillRect/>
                    </a:stretch>
                  </pic:blipFill>
                  <pic:spPr>
                    <a:xfrm>
                      <a:off x="0" y="0"/>
                      <a:ext cx="5486400" cy="4114800"/>
                    </a:xfrm>
                    <a:prstGeom prst="rect">
                      <a:avLst/>
                    </a:prstGeom>
                  </pic:spPr>
                </pic:pic>
              </a:graphicData>
            </a:graphic>
          </wp:inline>
        </w:drawing>
      </w:r>
    </w:p>
    <w:p>
      <w:pPr>
        <w:pStyle w:val="23"/>
        <w:rPr>
          <w:sz w:val="22"/>
          <w:szCs w:val="22"/>
        </w:rPr>
      </w:pPr>
      <w:r>
        <w:t xml:space="preserve"> </w:t>
      </w:r>
      <w:r>
        <w:rPr>
          <w:sz w:val="22"/>
          <w:szCs w:val="22"/>
        </w:rPr>
        <w:t>Interpretation for the constrains: sparse data in the constrain region, so the fitted model cannot explain well. If more data is obtained in the future, results would be more realistic.</w:t>
      </w:r>
    </w:p>
    <w:p>
      <w:pPr>
        <w:bidi w:val="0"/>
        <w:rPr>
          <w:rFonts w:hint="default"/>
          <w:b/>
          <w:bCs/>
          <w:sz w:val="22"/>
          <w:szCs w:val="22"/>
          <w:lang w:val="en-AU"/>
        </w:rPr>
      </w:pPr>
      <w:bookmarkStart w:id="3" w:name="_GoBack"/>
      <w:bookmarkEnd w:id="3"/>
      <w:r>
        <w:rPr>
          <w:rFonts w:hint="default"/>
          <w:b/>
          <w:bCs/>
          <w:sz w:val="22"/>
          <w:szCs w:val="22"/>
          <w:lang w:val="en-AU"/>
        </w:rPr>
        <w:t>Visualize fitted line and its 95% predict interval for InGap VS 3Treatment</w:t>
      </w:r>
    </w:p>
    <w:p>
      <w:pPr>
        <w:bidi w:val="0"/>
      </w:pPr>
      <w:r>
        <w:drawing>
          <wp:inline distT="0" distB="0" distL="114300" distR="114300">
            <wp:extent cx="4619625" cy="3695700"/>
            <wp:effectExtent l="0" t="0" r="0" b="0"/>
            <wp:docPr id="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r>
        <w:drawing>
          <wp:inline distT="0" distB="0" distL="114300" distR="114300">
            <wp:extent cx="2720340" cy="2176145"/>
            <wp:effectExtent l="0" t="0" r="7620" b="3175"/>
            <wp:docPr id="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a:picLocks noChangeAspect="1" noChangeArrowheads="1"/>
                    </pic:cNvPicPr>
                  </pic:nvPicPr>
                  <pic:blipFill>
                    <a:blip r:embed="rId7"/>
                    <a:stretch>
                      <a:fillRect/>
                    </a:stretch>
                  </pic:blipFill>
                  <pic:spPr>
                    <a:xfrm>
                      <a:off x="0" y="0"/>
                      <a:ext cx="2720340" cy="2176145"/>
                    </a:xfrm>
                    <a:prstGeom prst="rect">
                      <a:avLst/>
                    </a:prstGeom>
                    <a:noFill/>
                    <a:ln w="9525">
                      <a:noFill/>
                    </a:ln>
                  </pic:spPr>
                </pic:pic>
              </a:graphicData>
            </a:graphic>
          </wp:inline>
        </w:drawing>
      </w:r>
      <w:r>
        <w:drawing>
          <wp:inline distT="0" distB="0" distL="114300" distR="114300">
            <wp:extent cx="2752090" cy="2202180"/>
            <wp:effectExtent l="0" t="0" r="6350" b="7620"/>
            <wp:docPr id="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a:picLocks noChangeAspect="1" noChangeArrowheads="1"/>
                    </pic:cNvPicPr>
                  </pic:nvPicPr>
                  <pic:blipFill>
                    <a:blip r:embed="rId8"/>
                    <a:stretch>
                      <a:fillRect/>
                    </a:stretch>
                  </pic:blipFill>
                  <pic:spPr>
                    <a:xfrm>
                      <a:off x="0" y="0"/>
                      <a:ext cx="2752090" cy="2202180"/>
                    </a:xfrm>
                    <a:prstGeom prst="rect">
                      <a:avLst/>
                    </a:prstGeom>
                    <a:noFill/>
                    <a:ln w="9525">
                      <a:noFill/>
                    </a:ln>
                  </pic:spPr>
                </pic:pic>
              </a:graphicData>
            </a:graphic>
          </wp:inline>
        </w:drawing>
      </w:r>
      <w:r>
        <w:t xml:space="preserve"> </w:t>
      </w:r>
    </w:p>
    <w:p>
      <w:pPr>
        <w:bidi w:val="0"/>
        <w:rPr>
          <w:sz w:val="22"/>
          <w:szCs w:val="22"/>
        </w:rPr>
      </w:pPr>
      <w:r>
        <w:rPr>
          <w:sz w:val="22"/>
          <w:szCs w:val="22"/>
        </w:rPr>
        <w:t>Here, The first plot InGap VS Control is possibly a useful visualization for the mixed2.0 model to show how InGap increase tree growth compared to Control. The intersections of red lines and black lines in the second and third plot deliver the same information as the vertical constrain lines in the previous plot.</w:t>
      </w:r>
    </w:p>
    <w:p>
      <w:pPr>
        <w:bidi w:val="0"/>
        <w:rPr>
          <w:rFonts w:hint="default"/>
          <w:b/>
          <w:bCs/>
          <w:sz w:val="22"/>
          <w:szCs w:val="22"/>
          <w:lang w:val="en-AU"/>
        </w:rPr>
      </w:pPr>
    </w:p>
    <w:p>
      <w:pPr>
        <w:bidi w:val="0"/>
        <w:rPr>
          <w:rFonts w:hint="default"/>
          <w:b/>
          <w:bCs/>
          <w:sz w:val="22"/>
          <w:szCs w:val="22"/>
          <w:lang w:val="en-AU"/>
        </w:rPr>
      </w:pPr>
    </w:p>
    <w:p>
      <w:pPr>
        <w:bidi w:val="0"/>
        <w:rPr>
          <w:rFonts w:hint="default"/>
          <w:b/>
          <w:bCs/>
          <w:sz w:val="22"/>
          <w:szCs w:val="22"/>
          <w:lang w:val="en-AU"/>
        </w:rPr>
      </w:pPr>
    </w:p>
    <w:p>
      <w:pPr>
        <w:bidi w:val="0"/>
        <w:rPr>
          <w:rFonts w:hint="default"/>
          <w:b/>
          <w:bCs/>
          <w:sz w:val="22"/>
          <w:szCs w:val="22"/>
          <w:lang w:val="en-AU"/>
        </w:rPr>
      </w:pPr>
    </w:p>
    <w:p>
      <w:pPr>
        <w:bidi w:val="0"/>
        <w:rPr>
          <w:rFonts w:hint="default"/>
          <w:b/>
          <w:bCs/>
          <w:sz w:val="22"/>
          <w:szCs w:val="22"/>
          <w:lang w:val="en-AU"/>
        </w:rPr>
      </w:pPr>
      <w:r>
        <w:rPr>
          <w:rFonts w:hint="default"/>
          <w:b/>
          <w:bCs/>
          <w:sz w:val="22"/>
          <w:szCs w:val="22"/>
          <w:lang w:val="en-AU"/>
        </w:rPr>
        <w:t>Visualize fitted line and its 95% predict interval for not InGap trees in 3Treatment</w:t>
      </w:r>
    </w:p>
    <w:p>
      <w:pPr>
        <w:bidi w:val="0"/>
      </w:pPr>
      <w:r>
        <w:drawing>
          <wp:inline distT="0" distB="0" distL="114300" distR="114300">
            <wp:extent cx="4619625" cy="3695700"/>
            <wp:effectExtent l="0" t="0" r="0" b="0"/>
            <wp:docPr id="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r>
        <w:t xml:space="preserve"> </w:t>
      </w:r>
    </w:p>
    <w:p>
      <w:pPr>
        <w:bidi w:val="0"/>
        <w:rPr>
          <w:sz w:val="22"/>
          <w:szCs w:val="22"/>
        </w:rPr>
      </w:pPr>
      <w:r>
        <w:rPr>
          <w:sz w:val="22"/>
          <w:szCs w:val="22"/>
        </w:rPr>
        <w:t xml:space="preserve">This plot shows </w:t>
      </w:r>
      <w:r>
        <w:rPr>
          <w:rFonts w:hint="default"/>
          <w:sz w:val="22"/>
          <w:szCs w:val="22"/>
          <w:lang w:val="en-AU"/>
        </w:rPr>
        <w:t>fitted</w:t>
      </w:r>
      <w:r>
        <w:rPr>
          <w:sz w:val="22"/>
          <w:szCs w:val="22"/>
        </w:rPr>
        <w:t xml:space="preserve"> line and 95% predict interval </w:t>
      </w:r>
      <w:r>
        <w:rPr>
          <w:rFonts w:hint="default"/>
          <w:sz w:val="22"/>
          <w:szCs w:val="22"/>
          <w:lang w:val="en-AU"/>
        </w:rPr>
        <w:t>for</w:t>
      </w:r>
      <w:r>
        <w:rPr>
          <w:sz w:val="22"/>
          <w:szCs w:val="22"/>
        </w:rPr>
        <w:t xml:space="preserve"> not-InGap trees in the three treatments. The red line(T1) and the green line(T2) are both higher and steeper than the black line(Control), but lines and shaded interval</w:t>
      </w:r>
      <w:r>
        <w:rPr>
          <w:rFonts w:hint="default"/>
          <w:sz w:val="22"/>
          <w:szCs w:val="22"/>
          <w:lang w:val="en-AU"/>
        </w:rPr>
        <w:t>s</w:t>
      </w:r>
      <w:r>
        <w:rPr>
          <w:sz w:val="22"/>
          <w:szCs w:val="22"/>
        </w:rPr>
        <w:t xml:space="preserve"> of T1 and T2 almost completely overlap.</w:t>
      </w:r>
    </w:p>
    <w:p>
      <w:pPr>
        <w:bidi w:val="0"/>
        <w:rPr>
          <w:sz w:val="22"/>
          <w:szCs w:val="22"/>
        </w:rPr>
      </w:pPr>
      <w:r>
        <w:rPr>
          <w:sz w:val="22"/>
          <w:szCs w:val="22"/>
          <w:u w:val="single"/>
        </w:rPr>
        <w:t>Interpretation for this overlap:</w:t>
      </w:r>
      <w:r>
        <w:rPr>
          <w:sz w:val="22"/>
          <w:szCs w:val="22"/>
        </w:rPr>
        <w:t xml:space="preserve"> </w:t>
      </w:r>
    </w:p>
    <w:p>
      <w:pPr>
        <w:numPr>
          <w:ilvl w:val="0"/>
          <w:numId w:val="1"/>
        </w:numPr>
        <w:bidi w:val="0"/>
        <w:rPr>
          <w:sz w:val="22"/>
          <w:szCs w:val="22"/>
        </w:rPr>
      </w:pPr>
      <w:r>
        <w:rPr>
          <w:sz w:val="22"/>
          <w:szCs w:val="22"/>
        </w:rPr>
        <w:t>What does these two groups refer to?</w:t>
      </w:r>
      <w:r>
        <w:rPr>
          <w:rFonts w:hint="default"/>
          <w:sz w:val="22"/>
          <w:szCs w:val="22"/>
          <w:lang w:val="en-AU"/>
        </w:rPr>
        <w:t xml:space="preserve"> (see illustration at the end)</w:t>
      </w:r>
    </w:p>
    <w:p>
      <w:pPr>
        <w:numPr>
          <w:ilvl w:val="0"/>
          <w:numId w:val="0"/>
        </w:numPr>
        <w:bidi w:val="0"/>
        <w:ind w:firstLine="720" w:firstLineChars="0"/>
        <w:rPr>
          <w:rFonts w:hint="default"/>
          <w:sz w:val="20"/>
          <w:szCs w:val="20"/>
          <w:lang w:val="en-AU"/>
        </w:rPr>
      </w:pPr>
      <w:r>
        <w:rPr>
          <w:sz w:val="20"/>
          <w:szCs w:val="20"/>
        </w:rPr>
        <w:t>-&gt; red: T1 &amp; not-InGap = all T1 trees = trees around the T1gap area + trees not</w:t>
      </w:r>
      <w:r>
        <w:rPr>
          <w:rFonts w:hint="default"/>
          <w:sz w:val="20"/>
          <w:szCs w:val="20"/>
          <w:lang w:val="en-AU"/>
        </w:rPr>
        <w:t xml:space="preserve"> </w:t>
      </w:r>
      <w:r>
        <w:rPr>
          <w:sz w:val="20"/>
          <w:szCs w:val="20"/>
        </w:rPr>
        <w:t xml:space="preserve">around the </w:t>
      </w:r>
      <w:r>
        <w:rPr>
          <w:rFonts w:hint="default"/>
          <w:sz w:val="20"/>
          <w:szCs w:val="20"/>
          <w:lang w:val="en-AU"/>
        </w:rPr>
        <w:tab/>
      </w:r>
      <w:r>
        <w:rPr>
          <w:sz w:val="20"/>
          <w:szCs w:val="20"/>
        </w:rPr>
        <w:t>T1gap area</w:t>
      </w:r>
      <w:r>
        <w:rPr>
          <w:rFonts w:hint="default"/>
          <w:sz w:val="20"/>
          <w:szCs w:val="20"/>
          <w:lang w:val="en-AU"/>
        </w:rPr>
        <w:t xml:space="preserve"> </w:t>
      </w:r>
      <w:r>
        <w:rPr>
          <w:sz w:val="20"/>
          <w:szCs w:val="20"/>
        </w:rPr>
        <w:t>(which could be considered as naturally distributed as in</w:t>
      </w:r>
      <w:r>
        <w:rPr>
          <w:rFonts w:hint="default"/>
          <w:sz w:val="20"/>
          <w:szCs w:val="20"/>
          <w:lang w:val="en-AU"/>
        </w:rPr>
        <w:t xml:space="preserve"> </w:t>
      </w:r>
      <w:r>
        <w:rPr>
          <w:sz w:val="20"/>
          <w:szCs w:val="20"/>
        </w:rPr>
        <w:t>Control)</w:t>
      </w:r>
      <w:r>
        <w:rPr>
          <w:rFonts w:hint="default"/>
          <w:sz w:val="20"/>
          <w:szCs w:val="20"/>
          <w:lang w:val="en-AU"/>
        </w:rPr>
        <w:t>.</w:t>
      </w:r>
    </w:p>
    <w:p>
      <w:pPr>
        <w:numPr>
          <w:ilvl w:val="0"/>
          <w:numId w:val="0"/>
        </w:numPr>
        <w:bidi w:val="0"/>
        <w:ind w:firstLine="720" w:firstLineChars="0"/>
        <w:rPr>
          <w:sz w:val="20"/>
          <w:szCs w:val="20"/>
        </w:rPr>
      </w:pPr>
      <w:r>
        <w:rPr>
          <w:sz w:val="20"/>
          <w:szCs w:val="20"/>
        </w:rPr>
        <w:t>-&gt; green: T2 &amp; not-InGap = trees except for the one in the middle of the T2radial</w:t>
      </w:r>
      <w:r>
        <w:rPr>
          <w:rFonts w:hint="default"/>
          <w:sz w:val="20"/>
          <w:szCs w:val="20"/>
          <w:lang w:val="en-AU"/>
        </w:rPr>
        <w:t xml:space="preserve"> </w:t>
      </w:r>
      <w:r>
        <w:rPr>
          <w:sz w:val="20"/>
          <w:szCs w:val="20"/>
        </w:rPr>
        <w:t xml:space="preserve">area = trees </w:t>
      </w:r>
      <w:r>
        <w:rPr>
          <w:rFonts w:hint="default"/>
          <w:sz w:val="20"/>
          <w:szCs w:val="20"/>
          <w:lang w:val="en-AU"/>
        </w:rPr>
        <w:tab/>
      </w:r>
      <w:r>
        <w:rPr>
          <w:sz w:val="20"/>
          <w:szCs w:val="20"/>
        </w:rPr>
        <w:t xml:space="preserve">around the T2radial area + trees not around the T2radial area. </w:t>
      </w:r>
    </w:p>
    <w:p>
      <w:pPr>
        <w:numPr>
          <w:ilvl w:val="0"/>
          <w:numId w:val="0"/>
        </w:numPr>
        <w:bidi w:val="0"/>
        <w:rPr>
          <w:sz w:val="20"/>
          <w:szCs w:val="20"/>
        </w:rPr>
      </w:pPr>
      <w:r>
        <w:rPr>
          <w:sz w:val="20"/>
          <w:szCs w:val="20"/>
        </w:rPr>
        <w:t>No matter it’s a T1gap area or a T2radial area, it’s always an open space, SO basically, trees in the red groups and in the green groups could be considered as having the same “treatment”(distribution) situations.</w:t>
      </w:r>
    </w:p>
    <w:p>
      <w:pPr>
        <w:numPr>
          <w:ilvl w:val="0"/>
          <w:numId w:val="0"/>
        </w:numPr>
        <w:bidi w:val="0"/>
        <w:rPr>
          <w:sz w:val="20"/>
          <w:szCs w:val="20"/>
        </w:rPr>
      </w:pPr>
      <w:r>
        <w:rPr>
          <w:sz w:val="20"/>
          <w:szCs w:val="20"/>
        </w:rPr>
        <w:t xml:space="preserve">SO having almost completely overlapping shades and lines is reasonable. </w:t>
      </w:r>
    </w:p>
    <w:p>
      <w:pPr>
        <w:numPr>
          <w:ilvl w:val="0"/>
          <w:numId w:val="0"/>
        </w:numPr>
        <w:bidi w:val="0"/>
        <w:rPr>
          <w:sz w:val="22"/>
          <w:szCs w:val="22"/>
        </w:rPr>
      </w:pPr>
    </w:p>
    <w:p>
      <w:pPr>
        <w:numPr>
          <w:ilvl w:val="0"/>
          <w:numId w:val="1"/>
        </w:numPr>
        <w:bidi w:val="0"/>
        <w:ind w:left="0" w:leftChars="0" w:firstLine="0" w:firstLineChars="0"/>
        <w:rPr>
          <w:sz w:val="22"/>
          <w:szCs w:val="22"/>
        </w:rPr>
      </w:pPr>
      <w:r>
        <w:rPr>
          <w:sz w:val="22"/>
          <w:szCs w:val="22"/>
        </w:rPr>
        <w:t>In the perspective of the estimated parameter values for these two terms:</w:t>
      </w:r>
    </w:p>
    <w:p>
      <w:pPr>
        <w:numPr>
          <w:ilvl w:val="0"/>
          <w:numId w:val="0"/>
        </w:numPr>
        <w:bidi w:val="0"/>
        <w:ind w:leftChars="0" w:firstLine="720" w:firstLineChars="0"/>
        <w:rPr>
          <w:sz w:val="20"/>
          <w:szCs w:val="20"/>
        </w:rPr>
      </w:pPr>
      <w:r>
        <w:rPr>
          <w:sz w:val="20"/>
          <w:szCs w:val="20"/>
        </w:rPr>
        <w:t>-&gt; TreatmentT1: Gap is 0.028683, TreatmentT2: Rad is 0.039231</w:t>
      </w:r>
    </w:p>
    <w:p>
      <w:pPr>
        <w:numPr>
          <w:ilvl w:val="0"/>
          <w:numId w:val="0"/>
        </w:numPr>
        <w:bidi w:val="0"/>
        <w:rPr>
          <w:sz w:val="20"/>
          <w:szCs w:val="20"/>
        </w:rPr>
      </w:pPr>
      <w:r>
        <w:rPr>
          <w:sz w:val="20"/>
          <w:szCs w:val="20"/>
        </w:rPr>
        <w:t>Calculating back the log(), T1 contributes exp(0.028683)=1.029 gradient, T2 contributes exp(0.039231)=1.04 gradient. 1.029 is very close to 1.04.</w:t>
      </w:r>
    </w:p>
    <w:p>
      <w:pPr>
        <w:numPr>
          <w:ilvl w:val="0"/>
          <w:numId w:val="0"/>
        </w:numPr>
        <w:bidi w:val="0"/>
        <w:rPr>
          <w:sz w:val="20"/>
          <w:szCs w:val="20"/>
        </w:rPr>
      </w:pPr>
      <w:r>
        <w:rPr>
          <w:sz w:val="20"/>
          <w:szCs w:val="20"/>
        </w:rPr>
        <w:t xml:space="preserve">Also, intercepts for the lines are very very close to each other as well, SO the red and green lines and their shades are almost completely overlapping is still reasonable. </w:t>
      </w:r>
    </w:p>
    <w:p>
      <w:pPr>
        <w:numPr>
          <w:ilvl w:val="0"/>
          <w:numId w:val="0"/>
        </w:numPr>
        <w:bidi w:val="0"/>
        <w:rPr>
          <w:sz w:val="20"/>
          <w:szCs w:val="20"/>
        </w:rPr>
      </w:pPr>
    </w:p>
    <w:p>
      <w:pPr>
        <w:numPr>
          <w:ilvl w:val="0"/>
          <w:numId w:val="1"/>
        </w:numPr>
        <w:bidi w:val="0"/>
        <w:ind w:left="0" w:leftChars="0" w:firstLine="0" w:firstLineChars="0"/>
        <w:rPr>
          <w:sz w:val="22"/>
          <w:szCs w:val="22"/>
        </w:rPr>
      </w:pPr>
      <w:r>
        <w:rPr>
          <w:sz w:val="22"/>
          <w:szCs w:val="22"/>
        </w:rPr>
        <w:t>Compared to Control:</w:t>
      </w:r>
    </w:p>
    <w:p>
      <w:pPr>
        <w:numPr>
          <w:ilvl w:val="0"/>
          <w:numId w:val="0"/>
        </w:numPr>
        <w:bidi w:val="0"/>
        <w:ind w:leftChars="0"/>
        <w:rPr>
          <w:sz w:val="20"/>
          <w:szCs w:val="20"/>
        </w:rPr>
      </w:pPr>
      <w:r>
        <w:rPr>
          <w:sz w:val="20"/>
          <w:szCs w:val="20"/>
        </w:rPr>
        <w:t xml:space="preserve">Despite of how overlapping T1 and T2 are in the plot, one point is obvious: they are both clearly higher and steeper than Control. </w:t>
      </w:r>
      <w:r>
        <w:rPr>
          <w:rFonts w:hint="default"/>
          <w:sz w:val="20"/>
          <w:szCs w:val="20"/>
          <w:lang w:val="en-AU"/>
        </w:rPr>
        <w:t>This gives:</w:t>
      </w:r>
      <w:r>
        <w:rPr>
          <w:sz w:val="20"/>
          <w:szCs w:val="20"/>
        </w:rPr>
        <w:t xml:space="preserve"> T1, T2 &gt; Control</w:t>
      </w:r>
    </w:p>
    <w:p>
      <w:pPr>
        <w:numPr>
          <w:ilvl w:val="0"/>
          <w:numId w:val="0"/>
        </w:numPr>
        <w:bidi w:val="0"/>
        <w:ind w:leftChars="0"/>
        <w:rPr>
          <w:sz w:val="20"/>
          <w:szCs w:val="20"/>
        </w:rPr>
      </w:pPr>
    </w:p>
    <w:p>
      <w:pPr>
        <w:numPr>
          <w:ilvl w:val="0"/>
          <w:numId w:val="1"/>
        </w:numPr>
        <w:bidi w:val="0"/>
        <w:ind w:left="0" w:leftChars="0" w:firstLine="0" w:firstLineChars="0"/>
        <w:rPr>
          <w:sz w:val="22"/>
          <w:szCs w:val="22"/>
        </w:rPr>
      </w:pPr>
      <w:r>
        <w:rPr>
          <w:sz w:val="22"/>
          <w:szCs w:val="22"/>
        </w:rPr>
        <w:t>Although T1 and T2 only have tiny difference, I think it’s still necessary to use the estimated parameter values to conclude that T2 &gt; T1 in terms of tree growth.</w:t>
      </w:r>
    </w:p>
    <w:p>
      <w:pPr>
        <w:numPr>
          <w:ilvl w:val="0"/>
          <w:numId w:val="0"/>
        </w:numPr>
        <w:bidi w:val="0"/>
        <w:rPr>
          <w:sz w:val="20"/>
          <w:szCs w:val="20"/>
        </w:rPr>
      </w:pPr>
      <w:r>
        <w:rPr>
          <w:sz w:val="20"/>
          <w:szCs w:val="20"/>
        </w:rPr>
        <w:t>-&gt; thinking in percentage:</w:t>
      </w:r>
    </w:p>
    <w:p>
      <w:pPr>
        <w:numPr>
          <w:ilvl w:val="0"/>
          <w:numId w:val="0"/>
        </w:numPr>
        <w:bidi w:val="0"/>
        <w:rPr>
          <w:sz w:val="20"/>
          <w:szCs w:val="20"/>
        </w:rPr>
      </w:pPr>
      <w:r>
        <w:rPr>
          <w:sz w:val="20"/>
          <w:szCs w:val="20"/>
        </w:rPr>
        <w:t>For trees starting with the same DBH.year.0 value, being in T1 will have a 2.9% increase in DBH.year.6 value compared to DBH.year.6 in Control; and being in T2 will have a 4% increase in DBH.year.6 value compared to DBH.year.6 in Control.</w:t>
      </w:r>
    </w:p>
    <w:p>
      <w:pPr>
        <w:numPr>
          <w:ilvl w:val="0"/>
          <w:numId w:val="0"/>
        </w:numPr>
        <w:bidi w:val="0"/>
        <w:rPr>
          <w:sz w:val="20"/>
          <w:szCs w:val="20"/>
        </w:rPr>
      </w:pPr>
      <w:r>
        <w:rPr>
          <w:rFonts w:hint="default"/>
          <w:sz w:val="20"/>
          <w:szCs w:val="20"/>
          <w:lang w:val="en-AU"/>
        </w:rPr>
        <w:t xml:space="preserve">And </w:t>
      </w:r>
      <w:r>
        <w:rPr>
          <w:sz w:val="20"/>
          <w:szCs w:val="20"/>
        </w:rPr>
        <w:t>2.9% is clearly different from 4%.</w:t>
      </w:r>
    </w:p>
    <w:p>
      <w:pPr>
        <w:numPr>
          <w:ilvl w:val="0"/>
          <w:numId w:val="0"/>
        </w:numPr>
        <w:bidi w:val="0"/>
        <w:rPr>
          <w:sz w:val="22"/>
          <w:szCs w:val="22"/>
        </w:rPr>
      </w:pPr>
    </w:p>
    <w:p>
      <w:pPr>
        <w:numPr>
          <w:ilvl w:val="0"/>
          <w:numId w:val="0"/>
        </w:numPr>
        <w:bidi w:val="0"/>
        <w:rPr>
          <w:sz w:val="22"/>
          <w:szCs w:val="22"/>
        </w:rPr>
      </w:pPr>
    </w:p>
    <w:p>
      <w:pPr>
        <w:numPr>
          <w:ilvl w:val="0"/>
          <w:numId w:val="0"/>
        </w:numPr>
        <w:bidi w:val="0"/>
        <w:rPr>
          <w:sz w:val="22"/>
          <w:szCs w:val="22"/>
        </w:rPr>
      </w:pPr>
    </w:p>
    <w:p>
      <w:pPr>
        <w:numPr>
          <w:ilvl w:val="0"/>
          <w:numId w:val="0"/>
        </w:numPr>
        <w:bidi w:val="0"/>
        <w:rPr>
          <w:rFonts w:hint="default"/>
          <w:sz w:val="22"/>
          <w:szCs w:val="22"/>
          <w:lang w:val="en-AU"/>
        </w:rPr>
      </w:pPr>
      <w:r>
        <w:rPr>
          <w:rFonts w:hint="default"/>
          <w:sz w:val="22"/>
          <w:szCs w:val="22"/>
          <w:lang w:val="en-AU"/>
        </w:rPr>
        <w:t>Illustration for interpretation point1</w:t>
      </w:r>
    </w:p>
    <w:bookmarkEnd w:id="1"/>
    <w:p>
      <w:pPr>
        <w:pStyle w:val="23"/>
        <w:rPr>
          <w:rFonts w:hint="default"/>
          <w:lang w:val="en-AU"/>
        </w:rPr>
      </w:pPr>
      <w:bookmarkStart w:id="2" w:name="other-plots"/>
      <w:r>
        <w:rPr>
          <w:rFonts w:hint="default"/>
          <w:lang w:val="en-AU"/>
        </w:rPr>
        <w:drawing>
          <wp:inline distT="0" distB="0" distL="114300" distR="114300">
            <wp:extent cx="5481955" cy="2281555"/>
            <wp:effectExtent l="0" t="0" r="4445" b="4445"/>
            <wp:docPr id="1" name="图片 1" descr="截图202210180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图20221018000017"/>
                    <pic:cNvPicPr>
                      <a:picLocks noChangeAspect="1"/>
                    </pic:cNvPicPr>
                  </pic:nvPicPr>
                  <pic:blipFill>
                    <a:blip r:embed="rId10"/>
                    <a:stretch>
                      <a:fillRect/>
                    </a:stretch>
                  </pic:blipFill>
                  <pic:spPr>
                    <a:xfrm>
                      <a:off x="0" y="0"/>
                      <a:ext cx="5481955" cy="2281555"/>
                    </a:xfrm>
                    <a:prstGeom prst="rect">
                      <a:avLst/>
                    </a:prstGeom>
                  </pic:spPr>
                </pic:pic>
              </a:graphicData>
            </a:graphic>
          </wp:inline>
        </w:drawing>
      </w:r>
    </w:p>
    <w:p>
      <w:pPr>
        <w:pStyle w:val="3"/>
        <w:rPr>
          <w:rFonts w:hint="default"/>
          <w:lang w:val="en-AU"/>
        </w:rPr>
      </w:pPr>
    </w:p>
    <w:bookmarkEnd w:id="2"/>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565576"/>
    <w:multiLevelType w:val="singleLevel"/>
    <w:tmpl w:val="3B56557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docVars>
    <w:docVar w:name="commondata" w:val="eyJoZGlkIjoiOGUzN2NmYmM2ZWEzODQ1MWQwMGY1OGViMDc3ZGYxOGUifQ=="/>
  </w:docVars>
  <w:rsids>
    <w:rsidRoot w:val="00000000"/>
    <w:rsid w:val="05AD1E72"/>
    <w:rsid w:val="16D952C5"/>
    <w:rsid w:val="1CE04199"/>
    <w:rsid w:val="1D26753F"/>
    <w:rsid w:val="24A97118"/>
    <w:rsid w:val="294B1EAA"/>
    <w:rsid w:val="2E881127"/>
    <w:rsid w:val="3FD339BE"/>
    <w:rsid w:val="40EF415A"/>
    <w:rsid w:val="5096402A"/>
    <w:rsid w:val="69DD52B6"/>
    <w:rsid w:val="6AA933EA"/>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535</Words>
  <Characters>2857</Characters>
  <Lines>12</Lines>
  <Paragraphs>8</Paragraphs>
  <TotalTime>37</TotalTime>
  <ScaleCrop>false</ScaleCrop>
  <LinksUpToDate>false</LinksUpToDate>
  <CharactersWithSpaces>3483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2022-10-17T12:08:00Z</dcterms:created>
  <dc:creator>YUHONG</dc:creator>
  <cp:lastModifiedBy>YUHONG</cp:lastModifiedBy>
  <dcterms:modified xsi:type="dcterms:W3CDTF">2022-10-18T00:21:27Z</dcterms:modified>
  <dc:title>final result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2052-11.1.0.12598</vt:lpwstr>
  </property>
  <property fmtid="{D5CDD505-2E9C-101B-9397-08002B2CF9AE}" pid="4" name="ICV">
    <vt:lpwstr>3B45564F27444F6CAF0304CD8ED9737A</vt:lpwstr>
  </property>
</Properties>
</file>