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1. Primer eslabón: efecto sobre el costo laboral por trabajador, tres lecturas y cinco medidas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Primer eslabón: efecto sobre el costo laboral por trabajador, tres lecturas y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4679"/>
        <w:gridCol w:w="1426"/>
        <w:gridCol w:w="1585"/>
        <w:gridCol w:w="1707"/>
        <w:gridCol w:w="1132"/>
        <w:gridCol w:w="1609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53,972</w:t>
            </w:r>
          </w:p>
        </w:tc>
      </w:tr>
    </w:tbl>
    <w:p>
      <w:pPr>
        <w:pStyle w:val="Titre2"/>
      </w:pPr>
      <w:r>
        <w:t xml:space="preserve">Tabla 2. Segundo eslabón: efecto sobre el empleo total (trabajadores o % según la escala)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Segundo eslabón: efecto sobre el empleo total (trabajadores o % según la escala)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951"/>
        <w:gridCol w:w="4679"/>
        <w:gridCol w:w="1426"/>
        <w:gridCol w:w="1585"/>
        <w:gridCol w:w="1707"/>
        <w:gridCol w:w="1132"/>
        <w:gridCol w:w="1609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</w:tbl>
    <w:p>
      <w:pPr>
        <w:pStyle w:val="Titre2"/>
      </w:pPr>
      <w:r>
        <w:t xml:space="preserve">Tabla 3. Empleo total año por año frente a 2022 (log)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Empleo total año por año frente a 2022 (log)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132"/>
        <w:gridCol w:w="1426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6.8609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Titre2"/>
      </w:pPr>
      <w:r>
        <w:t xml:space="preserve">Tabla 4. Elasticidad implícita empleo-costo laboral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Elasticidad implícita empleo-costo laboral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2343"/>
        <w:gridCol w:w="1548"/>
        <w:gridCol w:w="1768"/>
        <w:gridCol w:w="1891"/>
        <w:gridCol w:w="1450"/>
        <w:gridCol w:w="2086"/>
        <w:gridCol w:w="220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primer_eslabon_pct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empleo_ic_sup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elasticidad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elasticidad_ic_inf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elasticidad_ic_sup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-0.085</w:t>
            </w:r>
          </w:p>
        </w:tc>
      </w:tr>
    </w:tbl>
    <w:p>
      <w:pPr>
        <w:pStyle w:val="Titre2"/>
      </w:pPr>
      <w:r>
        <w:t xml:space="preserve">Tabla 5. Mecanismos de ajuste: efecto en 2023 por DE de exposición (exploratorio)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Mecanismos de ajuste: efecto en 2023 por DE de exposición (exploratorio)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2"/>
        <w:gridCol w:w="4898"/>
        <w:gridCol w:w="1426"/>
        <w:gridCol w:w="1585"/>
        <w:gridCol w:w="1707"/>
        <w:gridCol w:w="1132"/>
        <w:gridCol w:w="2282"/>
        <w:gridCol w:w="1854"/>
        <w:gridCol w:w="2563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mecanismo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significancia_cruda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p_ajustado_bh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significancia_ajustada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directo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-6.580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16,213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27,244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de agencias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aprendices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23,804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Composición ocupacional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44,249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Composición ocupacional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mujeres entre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44,249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Composición ocupacional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obreros (OJO: circular)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Salarios y compresión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(log; OJO: es la base del Kaitz)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42,238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Salarios y compresión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/ salario admin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40,726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Salarios y compresión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por temporal directo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Salarios y compresión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administrativo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42,072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 y servicios técnicos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41,363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Outsourcing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12,622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encargada a terceros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17,838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Pago a agencias temporales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15,956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31,129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Energía eléctrica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44,570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Compra de maquinaria nueva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24,657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Invierte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Compra maquinaria nueva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 / trabajador, 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por unidad de ventas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 Rentabilidad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 Rentabilidad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Margen: (VA - costo laboral) / producción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</w:tbl>
    <w:p>
      <w:pPr>
        <w:pStyle w:val="Titre2"/>
      </w:pPr>
      <w:r>
        <w:t xml:space="preserve">Tabla 5c. Mecanismos significativos: 2023 y 2024 frente a 2022, a 2021 y al promedio previo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5c. Mecanismos significativos: 2023 y 2024 frente a 2022, a 2021 y al promedio previo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98"/>
        <w:gridCol w:w="2820"/>
        <w:gridCol w:w="1462"/>
        <w:gridCol w:w="1854"/>
        <w:gridCol w:w="1132"/>
        <w:gridCol w:w="1609"/>
        <w:gridCol w:w="1426"/>
        <w:gridCol w:w="1585"/>
        <w:gridCol w:w="1707"/>
        <w:gridCol w:w="136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mecanismo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-3.4276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(log; OJO: es la base del Kaitz)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(log; OJO: es la base del Kaitz)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(log; OJO: es la base del Kaitz)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(log; OJO: es la base del Kaitz)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/ salario admin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/ salario admin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/ salario admin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/ salario admin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por temporal directo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por temporal directo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por temporal directo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por temporal directo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administrativo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administrativo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administrativo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-7.0371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administrativo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Energía eléctrica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Energía eléctrica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Energía eléctrica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Energía eléctrica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 / trabajador, 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 / trabajador, 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 / trabajador, 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-6.3787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 / trabajador, 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por unidad de ventas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por unidad de ventas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por unidad de ventas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por unidad de ventas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-8.6619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-10.8026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-6.5213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-6.5379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-8.7594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-8.8254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-11.4295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-6.2214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-8.5339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-8.5056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-10.6337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-6.3776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-6.5164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-8.7345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-4.2983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</w:tbl>
    <w:p>
      <w:pPr>
        <w:pStyle w:val="Titre2"/>
      </w:pPr>
      <w:r>
        <w:t xml:space="preserve">Tabla 6. Efecto en 2023 por tamaño de firma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Efecto en 2023 por tamaño de firma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2"/>
        <w:gridCol w:w="1707"/>
        <w:gridCol w:w="1426"/>
        <w:gridCol w:w="1585"/>
        <w:gridCol w:w="1707"/>
        <w:gridCol w:w="1132"/>
        <w:gridCol w:w="1609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</w:tbl>
    <w:p>
      <w:pPr>
        <w:pStyle w:val="Titre2"/>
      </w:pPr>
      <w:r>
        <w:t xml:space="preserve">Tabla 7. Coeficiente de 2023 con año base 2022 y 2019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7. Coeficiente de 2023 con año base 2022 y 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8"/>
        <w:gridCol w:w="900"/>
        <w:gridCol w:w="1426"/>
        <w:gridCol w:w="1585"/>
        <w:gridCol w:w="1707"/>
        <w:gridCol w:w="1132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log_costo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log_empleo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Titre2"/>
      </w:pPr>
      <w:r>
        <w:t xml:space="preserve">Tabla 9a. Quintiles del Kaitz de obreros (2022): firmas y rangos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9a. Quintiles del Kaitz de obreros (2022): firmas y rangos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60"/>
        <w:gridCol w:w="1010"/>
        <w:gridCol w:w="1340"/>
        <w:gridCol w:w="1829"/>
        <w:gridCol w:w="140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quintil_kaitz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kaitz_mediano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kaitz_max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</w:tr>
    </w:tbl>
    <w:p>
      <w:pPr>
        <w:pStyle w:val="Titre2"/>
      </w:pPr>
      <w:r>
        <w:t xml:space="preserve">Tabla 9. Efecto en 2023 por quintil del Kaitz frente al quintil 1 (dosis-respuesta)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9. Efecto en 2023 por quintil del Kaitz frente al quintil 1 (dosis-respuesta)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39"/>
        <w:gridCol w:w="2820"/>
        <w:gridCol w:w="985"/>
        <w:gridCol w:w="1426"/>
        <w:gridCol w:w="1585"/>
        <w:gridCol w:w="1707"/>
        <w:gridCol w:w="1132"/>
        <w:gridCol w:w="1609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-11.794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-16.201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-7.387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</w:tbl>
    <w:p>
      <w:pPr>
        <w:pStyle w:val="Titre2"/>
      </w:pPr>
      <w:r>
        <w:t xml:space="preserve">Tabla 10. Sensibilidad del efecto de 2023 a violaciones de tendencias paralelas (HonestDiD)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10. Sensibilidad del efecto de 2023 a violaciones de tendencias paralelas (HonestDiD)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39"/>
        <w:gridCol w:w="4214"/>
        <w:gridCol w:w="1413"/>
        <w:gridCol w:w="2038"/>
        <w:gridCol w:w="1034"/>
        <w:gridCol w:w="1071"/>
        <w:gridCol w:w="1707"/>
        <w:gridCol w:w="1365"/>
        <w:gridCol w:w="136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supuesto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parametro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efecto_2023_pct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lb_pct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ub_pct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excluye_cero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ic_abierto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(tendencias paralelas exactas)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(tendencias paralelas exactas)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(tendencias paralelas exactas)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</w:tbl>
    <w:p>
      <w:pPr>
        <w:pStyle w:val="Titre2"/>
      </w:pPr>
      <w:r>
        <w:t xml:space="preserve">Tabla 10b. Valor de quiebre de HonestDiD por resultado y supuesto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10b. Valor de quiebre de HonestDiD por resultado y supuesto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39"/>
        <w:gridCol w:w="3137"/>
        <w:gridCol w:w="2379"/>
        <w:gridCol w:w="1744"/>
        <w:gridCol w:w="1768"/>
        <w:gridCol w:w="543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supuesto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significativo_original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valor_quiebre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maximo_grilla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Robusto hasta 0.5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Robusto en toda la grilla probada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Robusto hasta 0.25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 pierde en cuanto se permite cualquier violación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significativo ni con tendencias paralelas exactas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significativo ni con tendencias paralelas exactas</w:t>
            </w:r>
          </w:p>
        </w:tc>
      </w:tr>
    </w:tbl>
    <w:p>
      <w:pPr>
        <w:pStyle w:val="Titre2"/>
      </w:pPr>
      <w:r>
        <w:t xml:space="preserve">Tabla 8. Resultado principal con la medida Bite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8. Resultado principal con la medida Bite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82"/>
        <w:gridCol w:w="4679"/>
        <w:gridCol w:w="1426"/>
        <w:gridCol w:w="1585"/>
        <w:gridCol w:w="1707"/>
        <w:gridCol w:w="1132"/>
        <w:gridCol w:w="1609"/>
        <w:gridCol w:w="136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eslabon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Costo laboral por trabajador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Costo laboral por trabajador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Costo laboral por trabajador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Costo laboral por trabajador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2026-09-27T21:46:50Z</dcterms:modified>
  <cp:category/>
</cp:coreProperties>
</file>