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Segundo eslabón: efecto sobre el empleo total (trabajadores o % según la escala)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951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2026-09-27T21:37:13Z</dcterms:modified>
  <cp:category/>
</cp:coreProperties>
</file>