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Elasticidad implícita empleo-costo laboral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2343"/>
        <w:gridCol w:w="1548"/>
        <w:gridCol w:w="1768"/>
        <w:gridCol w:w="1891"/>
        <w:gridCol w:w="1450"/>
        <w:gridCol w:w="2086"/>
        <w:gridCol w:w="220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primer_eslabon_pct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elasticidad_ic_sup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2026-09-27T21:37:14Z</dcterms:modified>
  <cp:category/>
</cp:coreProperties>
</file>