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Efecto en 2023 por tamaño de firma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1707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2026-09-27T21:37:29Z</dcterms:modified>
  <cp:category/>
</cp:coreProperties>
</file>