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7. Coeficiente de 2023 con año base 2022 y 2019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48"/>
        <w:gridCol w:w="900"/>
        <w:gridCol w:w="1426"/>
        <w:gridCol w:w="1585"/>
        <w:gridCol w:w="1707"/>
        <w:gridCol w:w="1132"/>
        <w:gridCol w:w="160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2026-09-27T21:37:30Z</dcterms:modified>
  <cp:category/>
</cp:coreProperties>
</file>