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9a. Quintiles del Kaitz de obreros (2022): firmas y rangos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0"/>
        <w:gridCol w:w="1010"/>
        <w:gridCol w:w="1340"/>
        <w:gridCol w:w="1829"/>
        <w:gridCol w:w="140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quintil_kaitz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kaitz_mediano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2026-09-27T21:37:31Z</dcterms:modified>
  <cp:category/>
</cp:coreProperties>
</file>