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10. Sensibilidad del efecto de 2023 a violaciones de tendencias paralelas (HonestDiD)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4214"/>
        <w:gridCol w:w="1413"/>
        <w:gridCol w:w="2038"/>
        <w:gridCol w:w="1034"/>
        <w:gridCol w:w="1071"/>
        <w:gridCol w:w="1707"/>
        <w:gridCol w:w="1365"/>
        <w:gridCol w:w="136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supuesto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excluye_cero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ic_abierto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(tendencias paralelas exactas)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(tendencias paralelas exactas)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 (tendencias paralelas exactas)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2026-09-27T21:45:05Z</dcterms:modified>
  <cp:category/>
</cp:coreProperties>
</file>