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2. Primer eslabón: efecto de una DE de exposición sobre el crecimiento del costo laboral 2022-2023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69"/>
        <w:gridCol w:w="1205"/>
        <w:gridCol w:w="1303"/>
        <w:gridCol w:w="1462"/>
        <w:gridCol w:w="1854"/>
        <w:gridCol w:w="1132"/>
        <w:gridCol w:w="1609"/>
        <w:gridCol w:w="1609"/>
        <w:gridCol w:w="1731"/>
        <w:gridCol w:w="1426"/>
        <w:gridCol w:w="1829"/>
        <w:gridCol w:w="156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muestra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ic95_inferior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ic95_superior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observaciones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r2_ajustado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 (costo laboral total)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Común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Sí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0.0835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0.0711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0.0958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8.3478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4,979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0.0731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(armónica 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Común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3.5236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(nivel salarial, 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Común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3.2962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Común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2.8663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(proporción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Común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 (costo laboral total)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Propia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9.0400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0.0790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(armónica 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Propia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3.1902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(nivel salarial, 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Propia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3.0944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Propia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2.8663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0.0123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(proporción de obreros)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Propia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Sí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0.7357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-0.0082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6,017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0.0002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2026-09-27T19:38:37Z</dcterms:modified>
  <cp:category/>
</cp:coreProperties>
</file>