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2b. Primer eslabón con outcomes que no usan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3438"/>
        <w:gridCol w:w="1462"/>
        <w:gridCol w:w="1854"/>
        <w:gridCol w:w="1132"/>
        <w:gridCol w:w="1609"/>
        <w:gridCol w:w="1609"/>
        <w:gridCol w:w="1731"/>
        <w:gridCol w:w="1426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2022 -&gt; 2023 (original)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2019 y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2022 -&gt; 2023 (original)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2019 y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2022 -&gt; 2023 (original)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2019 y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2022 -&gt; 2023 (original)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2019 y 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2022 -&gt; 2023 (original)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2019 y 2021 -&gt; 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-1.6481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2026-09-27T19:38:38Z</dcterms:modified>
  <cp:category/>
</cp:coreProperties>
</file>