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2c. Primer eslabón alternativo: rentabilidad y salida (pp por DE de exposición)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5700"/>
        <w:gridCol w:w="1462"/>
        <w:gridCol w:w="1854"/>
        <w:gridCol w:w="1132"/>
        <w:gridCol w:w="1609"/>
        <w:gridCol w:w="1609"/>
        <w:gridCol w:w="1731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Margen: 2022 -&gt; 2023 (con traslape)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-0.9330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Margen: 2022 -&gt; 2023 (con traslape)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Margen: 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Margen: 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Margen: promedio 2019 y 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Margen: promedio 2019 y 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Peso del costo laboral: 2022 -&gt; 2023 (con traslape)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Peso del costo laboral: 2022 -&gt; 2023 (con traslape)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Peso del costo laboral: 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Peso del costo laboral: 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Peso del costo laboral: promedio 2019 y 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Peso del costo laboral: promedio 2019 y 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Salida de la EAM en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Salida de la EAM en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Salida de la EAM en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Salida de la EAM en 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4.3998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3.5274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5.2722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2026-09-27T19:38:39Z</dcterms:modified>
  <cp:category/>
</cp:coreProperties>
</file>