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Coeficiente del primer eslabón con exposición medida en 2022 y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2038"/>
        <w:gridCol w:w="1744"/>
        <w:gridCol w:w="2038"/>
        <w:gridCol w:w="1744"/>
        <w:gridCol w:w="29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pareja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2026-09-27T19:38:40Z</dcterms:modified>
  <cp:category/>
</cp:coreProperties>
</file>