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Primer eslabón en el año del choque y en el placebo 2018-2019 (placebo no informativo, ver nota en el script)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19"/>
        <w:gridCol w:w="1462"/>
        <w:gridCol w:w="1854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2026-09-27T19:38:41Z</dcterms:modified>
  <cp:category/>
</cp:coreProperties>
</file>