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7. Crecimiento del costo laboral por quintil de exposición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878"/>
        <w:gridCol w:w="985"/>
        <w:gridCol w:w="1010"/>
        <w:gridCol w:w="2918"/>
        <w:gridCol w:w="2673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quintil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firmas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crecimiento_mediano_pct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crecimiento_medio_pct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quintil_bite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10.51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7.30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quintil_bite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10.26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quintil_bite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12.57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quintil_bite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10.61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quintil_bite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quintil_golpe_c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quintil_golpe_c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10.77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quintil_golpe_c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10.55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quintil_golpe_c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12.46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quintil_golpe_c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1,119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14.59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14.41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2026-09-27T19:38:43Z</dcterms:modified>
  <cp:category/>
</cp:coreProperties>
</file>