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8. Resumen del primer eslabón en la muestra común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69"/>
        <w:gridCol w:w="1462"/>
        <w:gridCol w:w="1426"/>
        <w:gridCol w:w="1132"/>
        <w:gridCol w:w="1609"/>
        <w:gridCol w:w="182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observaciones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 (costo laboral total)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0.0835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8.3478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4,979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(armónica 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4,979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(nivel salarial, 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3.2962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4,979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2.8663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4,979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(proporción de obreros)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0.1882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4,979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2026-09-27T19:38:44Z</dcterms:modified>
  <cp:category/>
</cp:coreProperties>
</file>