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1: % de incoherencia antes y después de corregir por la base reducida del salario integral, 2008-2019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70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Fórmula original (divisor fijo 0.05)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Fórmula corregida (divisor mezclado según peso de C3R1)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2026-09-26T22:19:47Z</dcterms:modified>
  <cp:category/>
</cp:coreProperties>
</file>