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Causa 3: % que reporta C3R20&gt;0, coherentes vs. incoherentes, por sector (CIIU 2 dígitos)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863"/>
        <w:gridCol w:w="2624"/>
        <w:gridCol w:w="2526"/>
        <w:gridCol w:w="4288"/>
        <w:gridCol w:w="4190"/>
        <w:gridCol w:w="1732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ciiu2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n_incoherente_FALSE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n_incoherente_TRUE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pct_reporta_c3r20_incoherente_FALSE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pct_reporta_c3r20_incoherente_TRUE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diferencia_pp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85.190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45.450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39.740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75.940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55.990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19.950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82.920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66.360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16.560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82.440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68.460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13.980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65.280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52.230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13.050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83.180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70.870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12.310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86.840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74.560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12.280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83.130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71.920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11.210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82.330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71.200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11.130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78.580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10.580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85.050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75.870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9.180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72.070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62.920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9.150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87.130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7.130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82.320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75.310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7.010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81.250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74.530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6.720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84.140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77.860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6.280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91.890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85.710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6.180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80.520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5.520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2,743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70.980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66.150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87.300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82.500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82.350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81.080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1.270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79.640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78.610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83.510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83.940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-0.430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2026-09-26T22:19:48Z</dcterms:modified>
  <cp:category/>
</cp:coreProperties>
</file>