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Salario mínimo mensual y aumento anual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95"/>
        <w:gridCol w:w="241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aumento_porcentual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644,350.00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689,455.00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737,717.00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781,242.00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828,116.00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877,803.00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908,526.00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1,000,000.00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1,160,000.00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1,300,000.00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2026-09-26T21:54:13Z</dcterms:modified>
  <cp:category/>
</cp:coreProperties>
</file>