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Costo laboral por trabajador en veces 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783"/>
        <w:gridCol w:w="2319"/>
        <w:gridCol w:w="250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debajo_del_minimo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mas_de_10_minimos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2026-09-26T21:54:16Z</dcterms:modified>
  <cp:category/>
</cp:coreProperties>
</file>