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13b. Brecha salarial mediana frente a los obreros (%, en log x 100), por año y grupo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952"/>
        <w:gridCol w:w="2979"/>
        <w:gridCol w:w="2759"/>
        <w:gridCol w:w="2759"/>
        <w:gridCol w:w="253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exposicion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brecha_admin_obrero_pct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brecha_prof_obrero_pct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firmas_con_dato_admin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firmas_con_dato_prof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1,581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1,677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1,786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1,793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1,274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1,269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1,762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2,112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1,212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2026-09-26T21:54:28Z</dcterms:modified>
  <cp:category/>
</cp:coreProperties>
</file>