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13c. Compresión salarial: efecto sobre salarios por categoría y brechas (exploratorio)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859"/>
        <w:gridCol w:w="1462"/>
        <w:gridCol w:w="1854"/>
        <w:gridCol w:w="1132"/>
        <w:gridCol w:w="1609"/>
        <w:gridCol w:w="1609"/>
        <w:gridCol w:w="1731"/>
        <w:gridCol w:w="1829"/>
        <w:gridCol w:w="1010"/>
        <w:gridCol w:w="2160"/>
        <w:gridCol w:w="1585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resultado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coeficiente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error_estandar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p_valor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ic95_inferior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ic95_superior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observaciones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firmas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efecto_porcentual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lectura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obrero (log)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-0.0160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-0.0256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-0.0064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42,238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5,088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-1.6025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Exploratorio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administrativo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42,072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-3.6963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Exploratorio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profesional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27,761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3,936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-2.3145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Exploratorio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Brecha administrativo - obrero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39,898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4,991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-1.3046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Exploratorio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Brecha profesional - obrero (log)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-0.0048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0.0093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0.6077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-0.0231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0.0135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26,477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3,876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-0.4785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Exploratorio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2026-09-26T21:54:30Z</dcterms:modified>
  <cp:category/>
</cp:coreProperties>
</file>