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14. Efecto por tamaño de firma (salario y empleo, 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575"/>
        <w:gridCol w:w="1462"/>
        <w:gridCol w:w="1854"/>
        <w:gridCol w:w="1132"/>
        <w:gridCol w:w="1609"/>
        <w:gridCol w:w="1609"/>
        <w:gridCol w:w="1731"/>
        <w:gridCol w:w="182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2026-09-26T21:54:31Z</dcterms:modified>
  <cp:category/>
</cp:coreProperties>
</file>