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8. Primer eslabón: aumento del salario promedio en firmas más expuestas (tres lecturas)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096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frente al cambio anual típico 2016-2019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4.7903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Promedio después menos promedio antes (DiD simple)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-1.0012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2026-09-26T21:54:21Z</dcterms:modified>
  <cp:category/>
</cp:coreProperties>
</file>