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10. Resultado principal: efecto del aumento de 2023 sobre el empleo total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64"/>
        <w:gridCol w:w="1462"/>
        <w:gridCol w:w="1854"/>
        <w:gridCol w:w="1132"/>
        <w:gridCol w:w="1609"/>
        <w:gridCol w:w="1609"/>
        <w:gridCol w:w="1731"/>
        <w:gridCol w:w="1829"/>
        <w:gridCol w:w="1010"/>
        <w:gridCol w:w="216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(trabajadores)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-1.7279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1.3429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-4.3599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0.9041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-0.9637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2026-09-26T21:54:23Z</dcterms:modified>
  <cp:category/>
</cp:coreProperties>
</file>