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15. Supuestos del modelo y validaciones pendientes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02"/>
        <w:gridCol w:w="16296"/>
        <w:gridCol w:w="8421"/>
        <w:gridCol w:w="183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que_significa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evidencia_en_este_script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pendiente_en_validaciones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Tendencias paralelas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aumento de 2023, el empleo de firmas con alta y baja exposición habría evolucionado de forma parecida (dentro del mismo sector, tamaño y departamento).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Gráficos G06 y G07: coeficientes de los años previos a 2023.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al período de comparación (2022 fue un año de alto empleo) y magnitud tolerable de desviaciones (Honest DiD).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Kaitz mide la exposición al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con Kaitz más alto enfrentaron un aumento mayor de su costo laboral en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8 y gráfico G05 (primer eslabón).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salario relativo de las firmas expuestas venía cayendo hasta 2022 (prueba de años previos del salario). Separar el salto de 2023 de una recuperación de salarios bajos del año base.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Choques comunes absorbidos por los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Pandemia, inflación, ciclo económico y subsidios afectaron por igual a las firmas de un mismo año, sector, tamaño y departamento.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Sección 5: dummies de pandemia y subsidios absorbidas por el efecto fijo de año.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PAEF e incentivo a nuevos empleos pagaban un monto fijo por trabajador, con más peso en firmas de salarios bajos; 2024 como año sin subsidios.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Sin anticipación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no ajustaron su empleo antes de conocer el aumento (decretado en diciembre de 2022).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Coeficientes de 2021 y 2022 en los estudios de evento.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Revisar si hubo ajustes a finales de 2022.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Exposición medida antes del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Kaitz de 2022 no está afectado por el aumento de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construido con datos de 2022.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a medir Kaitz en otros años.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Resultados exploratorios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Composición del empleo y ventas se reportan como asociaciones, no como efectos causales.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Patrón de las tendencias previas en composición del empleo.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Compresión salarial (exploratorio)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brecha entre obreros y otras categorías cambia por el aumento del mínimo y no por cambios en quién trabaja en la firma.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13b, gráfico G08b y tabla 13c.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Separar compresión de cambios de composición; repetir con Kaitz medido en otro año.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2026-09-26T21:54:32Z</dcterms:modified>
  <cp:category/>
</cp:coreProperties>
</file>