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Tabla 1. Cobertura de las categorías ocupacionales en 2022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 Cobertura de las categorías ocupacionales en 2022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45"/>
        <w:gridCol w:w="1621"/>
        <w:gridCol w:w="143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porcentaje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con_profesional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con_administrativo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con_alguna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solo_una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las_tres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51.29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sin_ninguna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7.18</w:t>
            </w:r>
          </w:p>
        </w:tc>
      </w:tr>
    </w:tbl>
    <w:p>
      <w:pPr>
        <w:pStyle w:val="Titre2"/>
      </w:pPr>
      <w:r>
        <w:t xml:space="preserve">Tabla 2. Distribución de las medidas de exposición (2022)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 Distribución de las medidas de exposición (2022)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97"/>
        <w:gridCol w:w="1010"/>
        <w:gridCol w:w="1084"/>
        <w:gridCol w:w="1084"/>
        <w:gridCol w:w="1084"/>
        <w:gridCol w:w="1084"/>
        <w:gridCol w:w="1255"/>
        <w:gridCol w:w="1084"/>
        <w:gridCol w:w="1084"/>
        <w:gridCol w:w="162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p10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p90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p99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pct_en_cero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1.9830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</w:tbl>
    <w:p>
      <w:pPr>
        <w:pStyle w:val="Titre2"/>
      </w:pPr>
      <w:r>
        <w:t xml:space="preserve">Tabla 3. Correlación de cada medida con el inverso del tamaño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 Correlación de cada medida con el inverso del tamaño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97"/>
        <w:gridCol w:w="4006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correlacion_con_menos_log_empleo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0.3596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0.2592</w:t>
            </w:r>
          </w:p>
        </w:tc>
      </w:tr>
    </w:tbl>
    <w:p>
      <w:pPr>
        <w:pStyle w:val="Titre2"/>
      </w:pPr>
      <w:r>
        <w:t xml:space="preserve">Tabla 4. Descomposición de la varianza del Kaitz en nivel y composición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 Descomposición de la varianza del Kaitz en nivel y composición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96"/>
        <w:gridCol w:w="1084"/>
        <w:gridCol w:w="359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componente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porcentaje_de_la_varianza_total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var_nivel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151.3000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var_composicion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covarianza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64.7000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var_kaitz_ingenuo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100.0000</w:t>
            </w:r>
          </w:p>
        </w:tc>
      </w:tr>
    </w:tbl>
    <w:p>
      <w:pPr>
        <w:pStyle w:val="Titre2"/>
      </w:pPr>
      <w:r>
        <w:t xml:space="preserve">Tabla 5. Estabilidad de las medidas entre 2019 y 2022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5. Estabilidad de las medidas entre 2019 y 2022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49"/>
        <w:gridCol w:w="151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firmas_con_ambos_anios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5,485.0000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cor_golpe_c_2022_2019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cor_golpe_a_2022_2019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cor_golpe_costo_2022_2019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0.4718</w:t>
            </w:r>
          </w:p>
        </w:tc>
      </w:tr>
    </w:tbl>
    <w:p>
      <w:pPr>
        <w:pStyle w:val="Titre2"/>
      </w:pPr>
      <w:r>
        <w:t xml:space="preserve">Tabla 6. Firmas recuperadas frente al Kaitz de obreros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6. Firmas recuperadas frente al Kaitz de obreros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11"/>
        <w:gridCol w:w="101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firmas_2022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con_bite_obreros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con_golpe_c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recuperadas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perdidas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sin_ninguna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444</w:t>
            </w:r>
          </w:p>
        </w:tc>
      </w:tr>
    </w:tbl>
    <w:p>
      <w:pPr>
        <w:pStyle w:val="Titre2"/>
      </w:pPr>
      <w:r>
        <w:t xml:space="preserve">Tabla 7. Correlaciones entre las medidas de exposición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7. Correlaciones entre las medidas de exposición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98"/>
        <w:gridCol w:w="2698"/>
        <w:gridCol w:w="1206"/>
        <w:gridCol w:w="1389"/>
        <w:gridCol w:w="96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medida_1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medida_2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pearson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spearman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0.7593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Exposure2022_obreros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Bite2022_obreros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Bite2022_obreros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Bite2022_obreros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Bite2022_obreros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Bite2022_obreros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Exposure2022_obreros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Exposure2022_obreros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Exposure2022_obreros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Exposure2022_obreros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6,178</w:t>
            </w:r>
          </w:p>
        </w:tc>
      </w:tr>
    </w:tbl>
    <w:p>
      <w:pPr>
        <w:pStyle w:val="Titre2"/>
      </w:pPr>
      <w:r>
        <w:t xml:space="preserve">Tabla 8. Transición de quintiles: Kaitz de obreros frente a golpe_c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8. Transición de quintiles: Kaitz de obreros frente a golpe_c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63"/>
        <w:gridCol w:w="1548"/>
        <w:gridCol w:w="1548"/>
        <w:gridCol w:w="1548"/>
        <w:gridCol w:w="1548"/>
        <w:gridCol w:w="154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quintil_bite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golpe_c_q1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golpe_c_q2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golpe_c_q3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golpe_c_q4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golpe_c_q5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306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524</w:t>
            </w:r>
          </w:p>
        </w:tc>
      </w:tr>
    </w:tbl>
    <w:p>
      <w:pPr>
        <w:pStyle w:val="Titre2"/>
      </w:pPr>
      <w:r>
        <w:t xml:space="preserve">Tabla 9. Qué tan cerca del mínimo está cada categoría ocupacional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9. Qué tan cerca del mínimo está cada categoría ocupacional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49"/>
        <w:gridCol w:w="1010"/>
        <w:gridCol w:w="2673"/>
        <w:gridCol w:w="2428"/>
        <w:gridCol w:w="2783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categoria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pct_bajo_1_5_minimos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pct_bajo_2_minimos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mediana_veces_minimo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w_administrativo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w_profesional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3,535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2026-09-26T22:21:09Z</dcterms:modified>
  <cp:category/>
</cp:coreProperties>
</file>