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Estabilidad de las medidas entre 2019 y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49"/>
        <w:gridCol w:w="15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firmas_con_ambos_anios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cor_golpe_a_2022_2019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cor_golpe_costo_2022_2019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2026-09-26T22:21:05Z</dcterms:modified>
  <cp:category/>
</cp:coreProperties>
</file>