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Crecimiento del costo laboral por quintil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85"/>
        <w:gridCol w:w="1010"/>
        <w:gridCol w:w="2918"/>
        <w:gridCol w:w="267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crecimiento_mediano_pct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crecimiento_medio_pct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quintil_golpe_c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2026-09-26T22:22:06Z</dcterms:modified>
  <cp:category/>
</cp:coreProperties>
</file>