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Primer eslabón con exposición de 2019 y crecimiento 2022-2023 (especificación principal)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1426"/>
        <w:gridCol w:w="2025"/>
        <w:gridCol w:w="2147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2026-09-27T14:40:04Z</dcterms:modified>
  <cp:category/>
</cp:coreProperties>
</file>