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Elasticidad implícita empleo-costo laboral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2343"/>
        <w:gridCol w:w="1548"/>
        <w:gridCol w:w="1768"/>
        <w:gridCol w:w="1891"/>
        <w:gridCol w:w="1450"/>
        <w:gridCol w:w="2086"/>
        <w:gridCol w:w="220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primer_eslabon_pct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empleo_ic_sup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elasticidad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elasticidad_ic_inf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elasticidad_ic_sup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2026-09-27T14:46:19Z</dcterms:modified>
  <cp:category/>
</cp:coreProperties>
</file>