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Coeficiente de 2023 con año base 2022 y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900"/>
        <w:gridCol w:w="1426"/>
        <w:gridCol w:w="1585"/>
        <w:gridCol w:w="170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2026-09-27T14:46:27Z</dcterms:modified>
  <cp:category/>
</cp:coreProperties>
</file>