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16. Distribución de las firmas por quintil de exposición (2022)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16. Distribución de las firmas por quintil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010"/>
        <w:gridCol w:w="1694"/>
        <w:gridCol w:w="1903"/>
        <w:gridCol w:w="1755"/>
        <w:gridCol w:w="2172"/>
        <w:gridCol w:w="2282"/>
        <w:gridCol w:w="269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kaitz_maximo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porcentaje_del_empleo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268,108.00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161,473.00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98,076.00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70,117.00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50,713.00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7.80</w:t>
            </w:r>
          </w:p>
        </w:tc>
      </w:tr>
    </w:tbl>
    <w:p>
      <w:pPr>
        <w:pStyle w:val="Titre2"/>
      </w:pPr>
      <w:r>
        <w:t xml:space="preserve">Tabla 17. Efecto por quintil de exposición, frente al quintil menos expuesto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17. Efecto por quintil de exposición, frente al quintil menos expuesto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-2.5727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-2.7765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-2.6292</w:t>
            </w:r>
          </w:p>
        </w:tc>
      </w:tr>
    </w:tbl>
    <w:p>
      <w:pPr>
        <w:pStyle w:val="Titre2"/>
      </w:pPr>
      <w:r>
        <w:t xml:space="preserve">Tabla 17b. Cambio en 2023 y 2024 frente a 2022, por quintil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17b. Cambio en 2023 y 2024 frente a 2022, por quintil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961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7.6892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14.6764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-3.0409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-2.3200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-6.1491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-3.7153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-6.8585</w:t>
            </w:r>
          </w:p>
        </w:tc>
      </w:tr>
    </w:tbl>
    <w:p>
      <w:pPr>
        <w:pStyle w:val="Titre2"/>
      </w:pPr>
      <w:r>
        <w:t xml:space="preserve">Tabla 17c. Cambio en 2023 y 2024 frente al promedio de 2015-2019, por quintil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17c. Cambio en 2023 y 2024 frente al promedio de 2015-2019, por quintil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900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-2.7379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-3.7526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-8.9071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-4.0915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-2.9966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-3.6897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-0.6990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-3.9615</w:t>
            </w:r>
          </w:p>
        </w:tc>
      </w:tr>
    </w:tbl>
    <w:p>
      <w:pPr>
        <w:pStyle w:val="Titre2"/>
      </w:pPr>
      <w:r>
        <w:t xml:space="preserve">Tabla 17d. El cambio de 2023 por quintil, según el período de comparación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17d. El cambio de 2023 por quintil, según el período de comparación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2441"/>
        <w:gridCol w:w="2160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18. Comparación de formas funcionales del tratamiento continuo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18. Comparación de formas funcionales del tratamiento continuo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807"/>
        <w:gridCol w:w="1634"/>
        <w:gridCol w:w="1829"/>
        <w:gridCol w:w="2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prueba_de_no_linealidad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Lineal (modelo principal)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-2,872.1046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-2,870.6943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 tramos (quintiles)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-2,881.8754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Lineal (modelo principal)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42,748.7052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42,740.9310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 tramos (quintiles)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42,749.2019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0.3969</w:t>
            </w:r>
          </w:p>
        </w:tc>
      </w:tr>
    </w:tbl>
    <w:p>
      <w:pPr>
        <w:pStyle w:val="Titre2"/>
      </w:pPr>
      <w:r>
        <w:t xml:space="preserve">Tabla 19. Empleo año por año, estimado por separado en cada grupo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19. Empleo año por año, estimado por separado en cada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5"/>
        <w:gridCol w:w="1952"/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0.0199</w:t>
            </w:r>
          </w:p>
        </w:tc>
      </w:tr>
    </w:tbl>
    <w:p>
      <w:pPr>
        <w:pStyle w:val="Titre2"/>
      </w:pPr>
      <w:r>
        <w:t xml:space="preserve">Tabla 20. Resultado principal con y sin el quintil más expuesto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20. Resultado principal con y sin el quintil más expuesto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8"/>
        <w:gridCol w:w="2575"/>
        <w:gridCol w:w="1462"/>
        <w:gridCol w:w="1854"/>
        <w:gridCol w:w="1132"/>
        <w:gridCol w:w="1609"/>
        <w:gridCol w:w="1609"/>
        <w:gridCol w:w="1731"/>
        <w:gridCol w:w="182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-0.9637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-0.2882</w:t>
            </w:r>
          </w:p>
        </w:tc>
      </w:tr>
    </w:tbl>
    <w:p>
      <w:pPr>
        <w:pStyle w:val="Titre2"/>
      </w:pPr>
      <w:r>
        <w:t xml:space="preserve">Tabla 21. Salario promedio por quintil de exposición, frente a su nivel de 2015 (%)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21. Salario promedio por quintil de exposición, frente a su nivel de 2015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961"/>
        <w:gridCol w:w="2196"/>
        <w:gridCol w:w="1010"/>
        <w:gridCol w:w="124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salario_medio_log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vs_2015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59.57</w:t>
            </w:r>
          </w:p>
        </w:tc>
      </w:tr>
    </w:tbl>
    <w:p>
      <w:pPr>
        <w:pStyle w:val="Titre2"/>
      </w:pPr>
      <w:r>
        <w:t xml:space="preserve">Tabla 22. Placebo: salto de 2019 con la medida construida en 2018, por quintil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22. Placebo: salto de 2019 con la medida construida en 2018, por quintil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1462"/>
        <w:gridCol w:w="1854"/>
        <w:gridCol w:w="1132"/>
        <w:gridCol w:w="160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9.4053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3.6774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3.4618</w:t>
            </w:r>
          </w:p>
        </w:tc>
      </w:tr>
    </w:tbl>
    <w:p>
      <w:pPr>
        <w:pStyle w:val="Titre2"/>
      </w:pPr>
      <w:r>
        <w:t xml:space="preserve">Tabla 23. Cambio de 2023 por quintil, con el Kaitz construido sobre el salario promedio de 2019-2021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23. Cambio de 2023 por quintil, con el Kaitz construido sobre el salario promedio de 2019-2021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441"/>
        <w:gridCol w:w="2391"/>
        <w:gridCol w:w="1462"/>
        <w:gridCol w:w="1854"/>
        <w:gridCol w:w="1132"/>
        <w:gridCol w:w="160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5.7327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-2.9065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-3.9772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-5.3652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2.4137</w:t>
            </w:r>
          </w:p>
        </w:tc>
      </w:tr>
    </w:tbl>
    <w:p>
      <w:pPr>
        <w:pStyle w:val="Titre2"/>
      </w:pPr>
      <w:r>
        <w:t xml:space="preserve">Tabla 24. Las tres medidas de exposición: salto real de 2023 frente al placebo de 2019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24. Las tres medidas de exposición: salto real de 2023 frente al placebo de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3701"/>
        <w:gridCol w:w="3517"/>
        <w:gridCol w:w="2391"/>
        <w:gridCol w:w="2160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ejercicio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</w:tbl>
    <w:p>
      <w:pPr>
        <w:pStyle w:val="Titre2"/>
      </w:pPr>
      <w:r>
        <w:t xml:space="preserve">Tabla 25. El quintil más expuesto: efecto real y efecto falso, con cada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25. El quintil más expuesto: efecto real y efecto falso, con cada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3701"/>
        <w:gridCol w:w="5389"/>
        <w:gridCol w:w="4520"/>
        <w:gridCol w:w="4838"/>
        <w:gridCol w:w="39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efecto_porcentual_Real (choque de 2023)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significancia_Real (choque de 2023)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2026-09-27T14:59:33Z</dcterms:modified>
  <cp:category/>
</cp:coreProperties>
</file>