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16. Distribución de las firmas por quintil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010"/>
        <w:gridCol w:w="1694"/>
        <w:gridCol w:w="1903"/>
        <w:gridCol w:w="1755"/>
        <w:gridCol w:w="2172"/>
        <w:gridCol w:w="2282"/>
        <w:gridCol w:w="269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kaitz_maximo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porcentaje_del_empleo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262.85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268,108.00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161,473.00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98,076.00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70,117.00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50,713.00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2026-09-27T14:58:50Z</dcterms:modified>
  <cp:category/>
</cp:coreProperties>
</file>