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17c. Cambio en 2023 y 2024 frente al promedio de 2015-2019,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00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-3.7526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-8.9071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-3.6897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-0.6990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-3.9615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2026-09-27T14:58:57Z</dcterms:modified>
  <cp:category/>
</cp:coreProperties>
</file>