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17d. El cambio de 2023 por quintil, según el período de comparación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391"/>
        <w:gridCol w:w="2441"/>
        <w:gridCol w:w="2160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-8.9071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2026-09-27T14:58:59Z</dcterms:modified>
  <cp:category/>
</cp:coreProperties>
</file>