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23. Cambio de 2023 por quintil, con el Kaitz construido sobre el salario promedio de 2019-2021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75"/>
        <w:gridCol w:w="2441"/>
        <w:gridCol w:w="2391"/>
        <w:gridCol w:w="1462"/>
        <w:gridCol w:w="1854"/>
        <w:gridCol w:w="1132"/>
        <w:gridCol w:w="1609"/>
        <w:gridCol w:w="216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referencia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1.9004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2.4863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3.7322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5.7327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2.3382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1.1913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2.7942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3.9290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-3.1625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-2.9065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-3.9772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-5.3652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0.9866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0.1495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3.8524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0.3951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2.4137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2026-09-27T14:59:18Z</dcterms:modified>
  <cp:category/>
</cp:coreProperties>
</file>