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2.0. Año de exposición y año base usados para cada año de choque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988"/>
        <w:gridCol w:w="14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2026-09-27T14:50:58Z</dcterms:modified>
  <cp:category/>
</cp:coreProperties>
</file>