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2.5. Diferencial de 2023 y 2024 según el rezago de la exposición,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71"/>
        <w:gridCol w:w="1988"/>
        <w:gridCol w:w="2514"/>
        <w:gridCol w:w="2172"/>
        <w:gridCol w:w="1426"/>
        <w:gridCol w:w="1071"/>
        <w:gridCol w:w="1132"/>
        <w:gridCol w:w="1609"/>
        <w:gridCol w:w="1010"/>
        <w:gridCol w:w="1083"/>
        <w:gridCol w:w="135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rezago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anio_eval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2026-09-27T14:51:18Z</dcterms:modified>
  <cp:category/>
</cp:coreProperties>
</file>