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4.5. Bite, ventana de 1 año, exposición 4 años antes,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99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  <w:gridCol w:w="2172"/>
        <w:gridCol w:w="21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es_2023_o_2024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2026-09-27T14:51:53Z</dcterms:modified>
  <cp:category/>
</cp:coreProperties>
</file>