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4.2. Coeficientes del estudio de evento año por año (frente a 2022), exposición de 2019,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426"/>
        <w:gridCol w:w="1071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2026-09-27T14:54:48Z</dcterms:modified>
  <cp:category/>
</cp:coreProperties>
</file>