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Coeficientes año a año (frente a 2022), exposición de 2019, las cinco medidas: efecto, EE, IC 95%, p-valor, 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961"/>
        <w:gridCol w:w="1426"/>
        <w:gridCol w:w="1084"/>
        <w:gridCol w:w="1585"/>
        <w:gridCol w:w="1707"/>
        <w:gridCol w:w="1132"/>
        <w:gridCol w:w="1609"/>
        <w:gridCol w:w="108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-4.2874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-6.6746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-1.9003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-3.8150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-6.0254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-5.6903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-6.2122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-6.1841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-4.8624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-7.1992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-6.3601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-7.0616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-7.2867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-5.6821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-7.5657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-7.6913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-6.6825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-6.6984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-6.4620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-6.4516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-6.5396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-7.2709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-5.7329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-7.8890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-3.5767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-7.4135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-3.8618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-5.8944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-5.1317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-0.7439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-2.0970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2026-09-27T14:55:55Z</dcterms:modified>
  <cp:category/>
</cp:coreProperties>
</file>