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6b. Coeficientes año a año, exposición 2019 y 2022 lado a lado,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622"/>
        <w:gridCol w:w="1267"/>
        <w:gridCol w:w="1145"/>
        <w:gridCol w:w="1304"/>
        <w:gridCol w:w="1145"/>
        <w:gridCol w:w="1622"/>
        <w:gridCol w:w="1267"/>
        <w:gridCol w:w="1145"/>
        <w:gridCol w:w="1304"/>
        <w:gridCol w:w="114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2026-09-27T14:56:11Z</dcterms:modified>
  <cp:category/>
</cp:coreProperties>
</file>