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Placebo rodante: efecto de una DE de Kaitz en cada transición anual, MCO e IV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1144"/>
        <w:gridCol w:w="1426"/>
        <w:gridCol w:w="1671"/>
        <w:gridCol w:w="1462"/>
        <w:gridCol w:w="1854"/>
        <w:gridCol w:w="1132"/>
        <w:gridCol w:w="1010"/>
        <w:gridCol w:w="1426"/>
        <w:gridCol w:w="1609"/>
        <w:gridCol w:w="337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metodo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tipo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4.7279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2021 (instrumento 2020)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2021 (instrumento 2020)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2021 (instrumento 2020)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2021 (instrumento 2020)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2021 (instrumento 2020)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2021 (instrumento 2020)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2021 (instrumento 2020)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 normal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2021 (instrumento 2020)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2026-09-27T15:35:28Z</dcterms:modified>
  <cp:category/>
</cp:coreProperties>
</file>