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Exceso del año del choque sobre el promedio de los años normales (errores agrupados por firma)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1144"/>
        <w:gridCol w:w="5230"/>
        <w:gridCol w:w="1157"/>
        <w:gridCol w:w="1854"/>
        <w:gridCol w:w="1132"/>
        <w:gridCol w:w="1524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metodo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2022 menos promedio de bases 2014-2018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2023 menos promedio de bases 2014-2018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2022 menos promedio de bases 2014-2018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2023 menos promedio de bases 2014-2018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2022 menos promedio de bases 2014-2018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2023 menos promedio de bases 2014-2018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2022 menos promedio de bases 2014-2018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2023 menos promedio de bases 2014-2018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2022 menos promedio de bases 2014-2018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2023 menos promedio de bases 2014-2018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2022 menos promedio de bases 2014-2018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2023 menos promedio de bases 2014-2018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2022 menos promedio de bases 2014-2018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2023 menos promedio de bases 2014-2018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2022 menos promedio de bases 2014-2018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 2023 menos promedio de bases 2014-2018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2026-09-27T15:35:29Z</dcterms:modified>
  <cp:category/>
</cp:coreProperties>
</file>