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Mecanismos de ajuste ordenados por magnitud, en desviaciones estándar del propio mecanismo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55"/>
        <w:gridCol w:w="3321"/>
        <w:gridCol w:w="2074"/>
        <w:gridCol w:w="1193"/>
        <w:gridCol w:w="1316"/>
        <w:gridCol w:w="1756"/>
        <w:gridCol w:w="961"/>
        <w:gridCol w:w="2074"/>
        <w:gridCol w:w="1756"/>
        <w:gridCol w:w="961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efecto_B_en_DE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ic_B_inf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ic_B_sup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p_B_ajustado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efecto_A_en_DE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p_A_ajustado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Compresión salarial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40,726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(VA/trabajador)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23,804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31,129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2026-09-27T14:47:32Z</dcterms:modified>
  <cp:category/>
</cp:coreProperties>
</file>